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F1" w:rsidRPr="008D41C6" w:rsidRDefault="00350AF1" w:rsidP="00350AF1">
      <w:pPr>
        <w:jc w:val="center"/>
        <w:rPr>
          <w:rFonts w:ascii="Times New Roman" w:hAnsi="Times New Roman"/>
          <w:b/>
        </w:rPr>
      </w:pPr>
      <w:r w:rsidRPr="008D41C6">
        <w:rPr>
          <w:rFonts w:ascii="Times New Roman" w:hAnsi="Times New Roman"/>
          <w:b/>
        </w:rPr>
        <w:t>LĒMUMS</w:t>
      </w:r>
    </w:p>
    <w:p w:rsidR="00350AF1" w:rsidRPr="008D41C6" w:rsidRDefault="00350AF1" w:rsidP="00350AF1">
      <w:pPr>
        <w:jc w:val="center"/>
        <w:rPr>
          <w:rFonts w:ascii="Times New Roman" w:hAnsi="Times New Roman"/>
        </w:rPr>
      </w:pPr>
      <w:r w:rsidRPr="008D41C6">
        <w:rPr>
          <w:rFonts w:ascii="Times New Roman" w:hAnsi="Times New Roman"/>
          <w:b/>
        </w:rPr>
        <w:t>p</w:t>
      </w:r>
      <w:r w:rsidRPr="008D41C6">
        <w:rPr>
          <w:rFonts w:ascii="Times New Roman" w:hAnsi="Times New Roman"/>
          <w:b/>
          <w:bCs/>
        </w:rPr>
        <w:t>ar rezultātiem</w:t>
      </w:r>
    </w:p>
    <w:p w:rsidR="00350AF1" w:rsidRPr="008D41C6" w:rsidRDefault="00350AF1" w:rsidP="00350AF1">
      <w:pPr>
        <w:jc w:val="center"/>
        <w:rPr>
          <w:rFonts w:ascii="Times New Roman" w:hAnsi="Times New Roman"/>
        </w:rPr>
      </w:pPr>
      <w:r w:rsidRPr="008D41C6">
        <w:rPr>
          <w:rFonts w:ascii="Times New Roman" w:hAnsi="Times New Roman"/>
        </w:rPr>
        <w:t>Publisko iepirkumu likuma 9.panta kārtībā veiktajā iepirkumā</w:t>
      </w:r>
    </w:p>
    <w:p w:rsidR="00350AF1" w:rsidRPr="008D41C6" w:rsidRDefault="00350AF1" w:rsidP="00EF0772">
      <w:pPr>
        <w:jc w:val="center"/>
        <w:rPr>
          <w:rFonts w:ascii="Times New Roman" w:hAnsi="Times New Roman"/>
          <w:b/>
        </w:rPr>
      </w:pPr>
      <w:r w:rsidRPr="008D41C6">
        <w:rPr>
          <w:rFonts w:ascii="Times New Roman" w:hAnsi="Times New Roman"/>
          <w:b/>
        </w:rPr>
        <w:t xml:space="preserve"> “Transformatoru apakšstacijas TP1416 elektroiekārtas rekonstrukcija”</w:t>
      </w:r>
    </w:p>
    <w:p w:rsidR="003326E9" w:rsidRPr="008D41C6" w:rsidRDefault="00540A54" w:rsidP="00EF0772">
      <w:pPr>
        <w:jc w:val="center"/>
        <w:rPr>
          <w:rFonts w:ascii="Times New Roman" w:hAnsi="Times New Roman"/>
          <w:b/>
        </w:rPr>
      </w:pPr>
      <w:r w:rsidRPr="008D41C6">
        <w:rPr>
          <w:rFonts w:ascii="Times New Roman" w:hAnsi="Times New Roman"/>
          <w:b/>
        </w:rPr>
        <w:t xml:space="preserve">Iepirkuma identifikācijas </w:t>
      </w:r>
      <w:r w:rsidR="007D7C5B" w:rsidRPr="008D41C6">
        <w:rPr>
          <w:rFonts w:ascii="Times New Roman" w:hAnsi="Times New Roman"/>
          <w:b/>
        </w:rPr>
        <w:t>Nr.</w:t>
      </w:r>
      <w:r w:rsidR="007D7C5B" w:rsidRPr="008D41C6">
        <w:rPr>
          <w:rFonts w:ascii="Times New Roman" w:hAnsi="Times New Roman"/>
          <w:b/>
          <w:bCs/>
        </w:rPr>
        <w:t>LU 201</w:t>
      </w:r>
      <w:r w:rsidR="00350AF1" w:rsidRPr="008D41C6">
        <w:rPr>
          <w:rFonts w:ascii="Times New Roman" w:hAnsi="Times New Roman"/>
          <w:b/>
          <w:bCs/>
        </w:rPr>
        <w:t>7</w:t>
      </w:r>
      <w:r w:rsidR="007D7C5B" w:rsidRPr="008D41C6">
        <w:rPr>
          <w:rFonts w:ascii="Times New Roman" w:hAnsi="Times New Roman"/>
          <w:b/>
          <w:bCs/>
        </w:rPr>
        <w:t>/</w:t>
      </w:r>
      <w:r w:rsidR="00350AF1" w:rsidRPr="008D41C6">
        <w:rPr>
          <w:rFonts w:ascii="Times New Roman" w:hAnsi="Times New Roman"/>
          <w:b/>
          <w:bCs/>
        </w:rPr>
        <w:t>81</w:t>
      </w:r>
      <w:r w:rsidR="007D7C5B" w:rsidRPr="008D41C6">
        <w:rPr>
          <w:rFonts w:ascii="Times New Roman" w:hAnsi="Times New Roman"/>
          <w:b/>
          <w:bCs/>
        </w:rPr>
        <w:t>_I</w:t>
      </w:r>
    </w:p>
    <w:p w:rsidR="00EF0772" w:rsidRPr="005B4254" w:rsidRDefault="00EF0772" w:rsidP="00EF0772">
      <w:pPr>
        <w:jc w:val="center"/>
        <w:rPr>
          <w:rFonts w:ascii="Times New Roman" w:hAnsi="Times New Roman"/>
          <w:b/>
          <w:bCs/>
        </w:rPr>
      </w:pPr>
    </w:p>
    <w:p w:rsidR="00DB11ED" w:rsidRDefault="00B866B0" w:rsidP="007F1D8D">
      <w:pPr>
        <w:jc w:val="both"/>
        <w:rPr>
          <w:rFonts w:ascii="Times New Roman" w:hAnsi="Times New Roman"/>
          <w:b/>
          <w:bCs/>
        </w:rPr>
      </w:pPr>
      <w:r w:rsidRPr="00833C79">
        <w:rPr>
          <w:rFonts w:ascii="Times New Roman" w:hAnsi="Times New Roman"/>
          <w:b/>
          <w:bCs/>
        </w:rPr>
        <w:t>Rīgā, 201</w:t>
      </w:r>
      <w:r w:rsidR="00350AF1" w:rsidRPr="00833C79">
        <w:rPr>
          <w:rFonts w:ascii="Times New Roman" w:hAnsi="Times New Roman"/>
          <w:b/>
          <w:bCs/>
        </w:rPr>
        <w:t>8</w:t>
      </w:r>
      <w:r w:rsidR="00AE056A" w:rsidRPr="00833C79">
        <w:rPr>
          <w:rFonts w:ascii="Times New Roman" w:hAnsi="Times New Roman"/>
          <w:b/>
          <w:bCs/>
        </w:rPr>
        <w:t xml:space="preserve">. gada </w:t>
      </w:r>
      <w:r w:rsidR="00350AF1" w:rsidRPr="00833C79">
        <w:rPr>
          <w:rFonts w:ascii="Times New Roman" w:hAnsi="Times New Roman"/>
          <w:b/>
          <w:bCs/>
        </w:rPr>
        <w:t>21</w:t>
      </w:r>
      <w:r w:rsidR="00CC30D5" w:rsidRPr="00833C79">
        <w:rPr>
          <w:rFonts w:ascii="Times New Roman" w:hAnsi="Times New Roman"/>
          <w:b/>
          <w:bCs/>
        </w:rPr>
        <w:t>.</w:t>
      </w:r>
      <w:r w:rsidR="00350AF1" w:rsidRPr="00833C79">
        <w:rPr>
          <w:rFonts w:ascii="Times New Roman" w:hAnsi="Times New Roman"/>
          <w:b/>
          <w:bCs/>
        </w:rPr>
        <w:t>februārī</w:t>
      </w:r>
    </w:p>
    <w:p w:rsidR="00131D17" w:rsidRPr="005B0445" w:rsidRDefault="00131D17" w:rsidP="00833C79">
      <w:pPr>
        <w:ind w:right="-199"/>
        <w:jc w:val="both"/>
        <w:outlineLvl w:val="0"/>
        <w:rPr>
          <w:rFonts w:ascii="Times New Roman" w:hAnsi="Times New Roman"/>
          <w:bCs/>
        </w:rPr>
      </w:pPr>
      <w:r w:rsidRPr="00162584">
        <w:rPr>
          <w:rFonts w:ascii="Times New Roman" w:hAnsi="Times New Roman"/>
          <w:b/>
          <w:bCs/>
        </w:rPr>
        <w:t>1.</w:t>
      </w:r>
      <w:r w:rsidRPr="00162584">
        <w:rPr>
          <w:rFonts w:ascii="Times New Roman" w:eastAsia="Times New Roman" w:hAnsi="Times New Roman"/>
          <w:b/>
          <w:lang w:eastAsia="lv-LV"/>
        </w:rPr>
        <w:t xml:space="preserve"> </w:t>
      </w:r>
      <w:r w:rsidRPr="005B0445">
        <w:rPr>
          <w:rFonts w:ascii="Times New Roman" w:eastAsia="Times New Roman" w:hAnsi="Times New Roman"/>
          <w:b/>
          <w:lang w:eastAsia="lv-LV"/>
        </w:rPr>
        <w:t>Pasūtītājs</w:t>
      </w:r>
      <w:r w:rsidRPr="005B0445">
        <w:rPr>
          <w:rFonts w:ascii="Times New Roman" w:hAnsi="Times New Roman"/>
          <w:b/>
          <w:bCs/>
        </w:rPr>
        <w:t>:</w:t>
      </w:r>
      <w:r w:rsidRPr="005B0445">
        <w:rPr>
          <w:rFonts w:ascii="Times New Roman" w:hAnsi="Times New Roman"/>
          <w:bCs/>
        </w:rPr>
        <w:t xml:space="preserve"> Latvijas Universitāte </w:t>
      </w:r>
      <w:r w:rsidR="005B0445" w:rsidRPr="005B0445">
        <w:rPr>
          <w:rFonts w:ascii="Times New Roman" w:hAnsi="Times New Roman"/>
          <w:bCs/>
        </w:rPr>
        <w:t>(</w:t>
      </w:r>
      <w:r w:rsidR="005B0445" w:rsidRPr="005B0445">
        <w:rPr>
          <w:rFonts w:ascii="Times New Roman" w:hAnsi="Times New Roman"/>
        </w:rPr>
        <w:t>turpmāk – LU vai Pasūtītājs</w:t>
      </w:r>
      <w:r w:rsidR="005B0445" w:rsidRPr="005B0445">
        <w:rPr>
          <w:rFonts w:ascii="Times New Roman" w:hAnsi="Times New Roman"/>
          <w:b/>
        </w:rPr>
        <w:t>);</w:t>
      </w:r>
      <w:r w:rsidR="005B0445" w:rsidRPr="005B0445">
        <w:rPr>
          <w:rFonts w:ascii="Times New Roman" w:hAnsi="Times New Roman"/>
          <w:b/>
          <w:bCs/>
        </w:rPr>
        <w:t xml:space="preserve"> </w:t>
      </w:r>
      <w:r w:rsidR="005B0445" w:rsidRPr="005B0445">
        <w:rPr>
          <w:rFonts w:ascii="Times New Roman" w:hAnsi="Times New Roman"/>
          <w:bCs/>
        </w:rPr>
        <w:t>juridiskā adrese</w:t>
      </w:r>
      <w:r w:rsidR="005B0445">
        <w:rPr>
          <w:rFonts w:ascii="Times New Roman" w:hAnsi="Times New Roman"/>
          <w:bCs/>
        </w:rPr>
        <w:t xml:space="preserve">: </w:t>
      </w:r>
      <w:r w:rsidRPr="005B0445">
        <w:rPr>
          <w:rFonts w:ascii="Times New Roman" w:hAnsi="Times New Roman"/>
          <w:bCs/>
        </w:rPr>
        <w:t>Raiņa bulvāris 19, Rīga</w:t>
      </w:r>
      <w:r w:rsidR="005B0445">
        <w:rPr>
          <w:rFonts w:ascii="Times New Roman" w:hAnsi="Times New Roman"/>
          <w:bCs/>
        </w:rPr>
        <w:t xml:space="preserve">, </w:t>
      </w:r>
      <w:r w:rsidR="005B0445" w:rsidRPr="005B0445">
        <w:rPr>
          <w:rFonts w:ascii="Times New Roman" w:hAnsi="Times New Roman"/>
        </w:rPr>
        <w:t>LV-1586</w:t>
      </w:r>
      <w:r w:rsidRPr="005B0445">
        <w:rPr>
          <w:rFonts w:ascii="Times New Roman" w:hAnsi="Times New Roman"/>
          <w:bCs/>
        </w:rPr>
        <w:t>.</w:t>
      </w:r>
    </w:p>
    <w:p w:rsidR="00131D17" w:rsidRPr="00162584" w:rsidRDefault="00131D17" w:rsidP="00833C79">
      <w:pPr>
        <w:ind w:right="-624"/>
        <w:jc w:val="both"/>
        <w:rPr>
          <w:rFonts w:ascii="Times New Roman" w:hAnsi="Times New Roman"/>
        </w:rPr>
      </w:pPr>
      <w:r w:rsidRPr="00162584">
        <w:rPr>
          <w:rFonts w:ascii="Times New Roman" w:hAnsi="Times New Roman"/>
          <w:b/>
          <w:bCs/>
        </w:rPr>
        <w:t>2.</w:t>
      </w:r>
      <w:r w:rsidRPr="00162584">
        <w:rPr>
          <w:rFonts w:ascii="Times New Roman" w:eastAsia="Times New Roman" w:hAnsi="Times New Roman"/>
          <w:b/>
          <w:bCs/>
          <w:lang w:eastAsia="lv-LV"/>
        </w:rPr>
        <w:t xml:space="preserve"> Iepirkuma komisija:</w:t>
      </w:r>
      <w:r w:rsidRPr="00162584">
        <w:rPr>
          <w:rFonts w:ascii="Times New Roman" w:hAnsi="Times New Roman"/>
        </w:rPr>
        <w:t xml:space="preserve"> LU</w:t>
      </w:r>
      <w:r w:rsidR="00FF7615">
        <w:rPr>
          <w:rFonts w:ascii="Times New Roman" w:hAnsi="Times New Roman"/>
        </w:rPr>
        <w:t xml:space="preserve"> </w:t>
      </w:r>
      <w:r w:rsidRPr="00162584">
        <w:rPr>
          <w:rFonts w:ascii="Times New Roman" w:hAnsi="Times New Roman"/>
        </w:rPr>
        <w:t>Centralizēto iepirkumu</w:t>
      </w:r>
      <w:r w:rsidRPr="00162584">
        <w:rPr>
          <w:rFonts w:ascii="Times New Roman" w:hAnsi="Times New Roman"/>
          <w:b/>
        </w:rPr>
        <w:t xml:space="preserve"> </w:t>
      </w:r>
      <w:r w:rsidRPr="00162584">
        <w:rPr>
          <w:rFonts w:ascii="Times New Roman" w:hAnsi="Times New Roman"/>
        </w:rPr>
        <w:t>komisijas (turpmāk- Komisija) sastāvs saskaņā ar 2017.gada 13.oktobra LU rīkojumu Nr. 1/319 “Par Latvijas Universitātes iepirkumu komisiju sastāviem”:</w:t>
      </w:r>
    </w:p>
    <w:tbl>
      <w:tblPr>
        <w:tblW w:w="9452" w:type="dxa"/>
        <w:tblLook w:val="04A0" w:firstRow="1" w:lastRow="0" w:firstColumn="1" w:lastColumn="0" w:noHBand="0" w:noVBand="1"/>
      </w:tblPr>
      <w:tblGrid>
        <w:gridCol w:w="4068"/>
        <w:gridCol w:w="5384"/>
      </w:tblGrid>
      <w:tr w:rsidR="00131D17" w:rsidRPr="003E2917" w:rsidTr="00AF4E56">
        <w:tc>
          <w:tcPr>
            <w:tcW w:w="4068" w:type="dxa"/>
            <w:shd w:val="clear" w:color="auto" w:fill="auto"/>
          </w:tcPr>
          <w:p w:rsidR="00131D17" w:rsidRPr="00162584" w:rsidRDefault="00131D17" w:rsidP="00833C79">
            <w:pPr>
              <w:spacing w:before="240"/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</w:rPr>
              <w:t>Komisijas priekšsēdētāja:</w:t>
            </w:r>
          </w:p>
        </w:tc>
        <w:tc>
          <w:tcPr>
            <w:tcW w:w="5384" w:type="dxa"/>
            <w:shd w:val="clear" w:color="auto" w:fill="auto"/>
          </w:tcPr>
          <w:p w:rsidR="00131D17" w:rsidRPr="00162584" w:rsidRDefault="00131D17" w:rsidP="00833C79">
            <w:pPr>
              <w:spacing w:before="240"/>
              <w:ind w:right="326"/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  <w:b/>
              </w:rPr>
              <w:t xml:space="preserve">Baiba Broka, </w:t>
            </w:r>
            <w:r w:rsidRPr="00162584">
              <w:rPr>
                <w:rFonts w:ascii="Times New Roman" w:hAnsi="Times New Roman"/>
              </w:rPr>
              <w:t>rektora biroja vadītāja;</w:t>
            </w:r>
            <w:r w:rsidRPr="0016258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31D17" w:rsidRPr="003E2917" w:rsidTr="00AF4E56">
        <w:tc>
          <w:tcPr>
            <w:tcW w:w="4068" w:type="dxa"/>
            <w:shd w:val="clear" w:color="auto" w:fill="auto"/>
          </w:tcPr>
          <w:p w:rsidR="00131D17" w:rsidRPr="00162584" w:rsidRDefault="00131D17" w:rsidP="00833C79">
            <w:pPr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</w:rPr>
              <w:t>Komisijas priekšsēdētāja vietniece:</w:t>
            </w:r>
          </w:p>
        </w:tc>
        <w:tc>
          <w:tcPr>
            <w:tcW w:w="5384" w:type="dxa"/>
            <w:shd w:val="clear" w:color="auto" w:fill="auto"/>
          </w:tcPr>
          <w:p w:rsidR="00131D17" w:rsidRPr="00162584" w:rsidRDefault="00131D17" w:rsidP="00833C79">
            <w:pPr>
              <w:ind w:right="326"/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  <w:b/>
              </w:rPr>
              <w:t>Anda Ozola,</w:t>
            </w:r>
            <w:r w:rsidRPr="00162584">
              <w:rPr>
                <w:rFonts w:ascii="Times New Roman" w:hAnsi="Times New Roman"/>
              </w:rPr>
              <w:t xml:space="preserve"> rektora padomniece (juridiskajos jautājumos);</w:t>
            </w:r>
          </w:p>
        </w:tc>
      </w:tr>
      <w:tr w:rsidR="00131D17" w:rsidRPr="003E2917" w:rsidTr="00AF4E56">
        <w:tc>
          <w:tcPr>
            <w:tcW w:w="4068" w:type="dxa"/>
            <w:shd w:val="clear" w:color="auto" w:fill="auto"/>
          </w:tcPr>
          <w:p w:rsidR="00131D17" w:rsidRPr="00162584" w:rsidRDefault="00131D17" w:rsidP="00833C79">
            <w:pPr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</w:rPr>
              <w:t>Komisijas locekļi:</w:t>
            </w:r>
          </w:p>
        </w:tc>
        <w:tc>
          <w:tcPr>
            <w:tcW w:w="5384" w:type="dxa"/>
            <w:shd w:val="clear" w:color="auto" w:fill="auto"/>
          </w:tcPr>
          <w:p w:rsidR="00131D17" w:rsidRPr="00162584" w:rsidRDefault="00131D17" w:rsidP="00833C79">
            <w:pPr>
              <w:ind w:right="326"/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  <w:b/>
              </w:rPr>
              <w:t xml:space="preserve">Anita Brakša, </w:t>
            </w:r>
            <w:r w:rsidRPr="00162584">
              <w:rPr>
                <w:rFonts w:ascii="Times New Roman" w:hAnsi="Times New Roman"/>
              </w:rPr>
              <w:t>Juridiskās fakultātes izpilddirektore;</w:t>
            </w:r>
          </w:p>
        </w:tc>
      </w:tr>
      <w:tr w:rsidR="00131D17" w:rsidRPr="003E2917" w:rsidTr="00AF4E56">
        <w:tc>
          <w:tcPr>
            <w:tcW w:w="4068" w:type="dxa"/>
            <w:shd w:val="clear" w:color="auto" w:fill="auto"/>
          </w:tcPr>
          <w:p w:rsidR="00131D17" w:rsidRPr="00162584" w:rsidRDefault="00131D17" w:rsidP="00833C7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4" w:type="dxa"/>
            <w:shd w:val="clear" w:color="auto" w:fill="auto"/>
          </w:tcPr>
          <w:p w:rsidR="00131D17" w:rsidRPr="00162584" w:rsidRDefault="00131D17" w:rsidP="00833C79">
            <w:pPr>
              <w:ind w:right="323"/>
              <w:jc w:val="both"/>
              <w:rPr>
                <w:rFonts w:ascii="Times New Roman" w:hAnsi="Times New Roman"/>
                <w:b/>
              </w:rPr>
            </w:pPr>
            <w:r w:rsidRPr="00162584">
              <w:rPr>
                <w:rFonts w:ascii="Times New Roman" w:hAnsi="Times New Roman"/>
                <w:b/>
              </w:rPr>
              <w:t>Artūrs Kuziks,</w:t>
            </w:r>
            <w:r w:rsidRPr="00162584">
              <w:rPr>
                <w:rFonts w:ascii="Times New Roman" w:hAnsi="Times New Roman"/>
              </w:rPr>
              <w:t xml:space="preserve"> Juridiskā departamenta Iepirkumu nodaļas vadītājs;</w:t>
            </w:r>
          </w:p>
          <w:p w:rsidR="00131D17" w:rsidRPr="00162584" w:rsidRDefault="00131D17" w:rsidP="00833C79">
            <w:pPr>
              <w:ind w:right="323"/>
              <w:jc w:val="both"/>
              <w:rPr>
                <w:rFonts w:ascii="Times New Roman" w:hAnsi="Times New Roman"/>
                <w:b/>
              </w:rPr>
            </w:pPr>
            <w:r w:rsidRPr="00162584">
              <w:rPr>
                <w:rFonts w:ascii="Times New Roman" w:hAnsi="Times New Roman"/>
                <w:b/>
              </w:rPr>
              <w:t xml:space="preserve">Anete </w:t>
            </w:r>
            <w:proofErr w:type="spellStart"/>
            <w:r w:rsidRPr="00162584">
              <w:rPr>
                <w:rFonts w:ascii="Times New Roman" w:hAnsi="Times New Roman"/>
                <w:b/>
              </w:rPr>
              <w:t>Andržejevska</w:t>
            </w:r>
            <w:proofErr w:type="spellEnd"/>
            <w:r w:rsidRPr="00162584">
              <w:rPr>
                <w:rFonts w:ascii="Times New Roman" w:hAnsi="Times New Roman"/>
                <w:b/>
              </w:rPr>
              <w:t>,</w:t>
            </w:r>
            <w:r w:rsidRPr="00162584">
              <w:rPr>
                <w:rFonts w:ascii="Times New Roman" w:hAnsi="Times New Roman"/>
              </w:rPr>
              <w:t xml:space="preserve"> Juridiskā departamenta Iepirkumu nodaļas juriste;</w:t>
            </w:r>
          </w:p>
        </w:tc>
      </w:tr>
      <w:tr w:rsidR="00131D17" w:rsidRPr="003E2917" w:rsidTr="00AF4E56">
        <w:tc>
          <w:tcPr>
            <w:tcW w:w="4068" w:type="dxa"/>
            <w:shd w:val="clear" w:color="auto" w:fill="auto"/>
          </w:tcPr>
          <w:p w:rsidR="00131D17" w:rsidRPr="00162584" w:rsidRDefault="00131D17" w:rsidP="00833C7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4" w:type="dxa"/>
            <w:shd w:val="clear" w:color="auto" w:fill="auto"/>
          </w:tcPr>
          <w:p w:rsidR="00131D17" w:rsidRPr="00162584" w:rsidRDefault="00131D17" w:rsidP="00833C79">
            <w:pPr>
              <w:ind w:right="323"/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  <w:b/>
              </w:rPr>
              <w:t>Santa Ulmane,</w:t>
            </w:r>
            <w:r w:rsidRPr="00162584">
              <w:rPr>
                <w:rFonts w:ascii="Times New Roman" w:hAnsi="Times New Roman"/>
              </w:rPr>
              <w:t xml:space="preserve"> Juridiskā departamenta Iepirkumu nodaļas juriste;</w:t>
            </w:r>
          </w:p>
        </w:tc>
      </w:tr>
      <w:tr w:rsidR="00131D17" w:rsidRPr="003E2917" w:rsidTr="00AF4E56">
        <w:tc>
          <w:tcPr>
            <w:tcW w:w="4068" w:type="dxa"/>
            <w:shd w:val="clear" w:color="auto" w:fill="auto"/>
          </w:tcPr>
          <w:p w:rsidR="00131D17" w:rsidRPr="00162584" w:rsidRDefault="00131D17" w:rsidP="00833C79">
            <w:pPr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</w:rPr>
              <w:t>Komisijas sekretāre:</w:t>
            </w:r>
          </w:p>
        </w:tc>
        <w:tc>
          <w:tcPr>
            <w:tcW w:w="5384" w:type="dxa"/>
            <w:shd w:val="clear" w:color="auto" w:fill="auto"/>
          </w:tcPr>
          <w:p w:rsidR="00131D17" w:rsidRPr="00162584" w:rsidRDefault="00131D17" w:rsidP="00833C79">
            <w:pPr>
              <w:ind w:right="323"/>
              <w:jc w:val="both"/>
              <w:rPr>
                <w:rFonts w:ascii="Times New Roman" w:hAnsi="Times New Roman"/>
              </w:rPr>
            </w:pPr>
            <w:r w:rsidRPr="00162584">
              <w:rPr>
                <w:rFonts w:ascii="Times New Roman" w:hAnsi="Times New Roman"/>
                <w:b/>
              </w:rPr>
              <w:t>Antra Krūtmane,</w:t>
            </w:r>
            <w:r w:rsidRPr="00162584">
              <w:rPr>
                <w:rFonts w:ascii="Times New Roman" w:hAnsi="Times New Roman"/>
              </w:rPr>
              <w:t xml:space="preserve"> Juridiskā departamenta Iepirkumu nodaļas juriste.</w:t>
            </w:r>
          </w:p>
          <w:p w:rsidR="00131D17" w:rsidRPr="00162584" w:rsidRDefault="00131D17" w:rsidP="00833C79">
            <w:pPr>
              <w:ind w:right="323"/>
              <w:jc w:val="both"/>
              <w:rPr>
                <w:rFonts w:ascii="Times New Roman" w:hAnsi="Times New Roman"/>
              </w:rPr>
            </w:pPr>
          </w:p>
        </w:tc>
      </w:tr>
    </w:tbl>
    <w:p w:rsidR="00131D17" w:rsidRPr="000F2159" w:rsidRDefault="00131D17" w:rsidP="00833C79">
      <w:pPr>
        <w:jc w:val="both"/>
        <w:rPr>
          <w:rFonts w:ascii="Times New Roman" w:hAnsi="Times New Roman"/>
          <w:b/>
          <w:bCs/>
        </w:rPr>
      </w:pPr>
      <w:r w:rsidRPr="009120FF">
        <w:rPr>
          <w:rFonts w:ascii="Times New Roman" w:hAnsi="Times New Roman"/>
          <w:b/>
        </w:rPr>
        <w:t xml:space="preserve">2.1. </w:t>
      </w:r>
      <w:r w:rsidRPr="000F2159">
        <w:rPr>
          <w:rFonts w:ascii="Times New Roman" w:hAnsi="Times New Roman"/>
        </w:rPr>
        <w:t xml:space="preserve">Lēmumu par Iepirkuma rezultātiem pieņem Komisija sešu Komisijas locekļu sastāvā – Komisijas priekšsēdētāja </w:t>
      </w:r>
      <w:r w:rsidRPr="000F2159">
        <w:rPr>
          <w:rFonts w:ascii="Times New Roman" w:hAnsi="Times New Roman"/>
          <w:b/>
        </w:rPr>
        <w:t>B. Broka</w:t>
      </w:r>
      <w:r w:rsidRPr="000F2159">
        <w:rPr>
          <w:rFonts w:ascii="Times New Roman" w:hAnsi="Times New Roman"/>
        </w:rPr>
        <w:t xml:space="preserve">, Komisijas priekšsēdētājas vietniece </w:t>
      </w:r>
      <w:r w:rsidRPr="000F2159">
        <w:rPr>
          <w:rFonts w:ascii="Times New Roman" w:hAnsi="Times New Roman"/>
          <w:b/>
        </w:rPr>
        <w:t>A. Ozola</w:t>
      </w:r>
      <w:r w:rsidRPr="000F2159">
        <w:rPr>
          <w:rFonts w:ascii="Times New Roman" w:hAnsi="Times New Roman"/>
        </w:rPr>
        <w:t>, Komisijas locekļi</w:t>
      </w:r>
      <w:r w:rsidRPr="000F2159">
        <w:rPr>
          <w:rFonts w:ascii="Times New Roman" w:hAnsi="Times New Roman"/>
          <w:b/>
        </w:rPr>
        <w:t xml:space="preserve"> A. Brakša, A. Kuziks, A. </w:t>
      </w:r>
      <w:proofErr w:type="spellStart"/>
      <w:r w:rsidRPr="000F2159">
        <w:rPr>
          <w:rFonts w:ascii="Times New Roman" w:hAnsi="Times New Roman"/>
          <w:b/>
        </w:rPr>
        <w:t>Andržejevska</w:t>
      </w:r>
      <w:proofErr w:type="spellEnd"/>
      <w:r w:rsidRPr="000F2159">
        <w:rPr>
          <w:rFonts w:ascii="Times New Roman" w:hAnsi="Times New Roman"/>
          <w:b/>
        </w:rPr>
        <w:t xml:space="preserve"> </w:t>
      </w:r>
      <w:r w:rsidRPr="000F2159">
        <w:rPr>
          <w:rFonts w:ascii="Times New Roman" w:hAnsi="Times New Roman"/>
        </w:rPr>
        <w:t>un</w:t>
      </w:r>
      <w:r w:rsidRPr="000F2159">
        <w:rPr>
          <w:rFonts w:ascii="Times New Roman" w:hAnsi="Times New Roman"/>
          <w:b/>
        </w:rPr>
        <w:t xml:space="preserve"> S. Ulmane,</w:t>
      </w:r>
      <w:r w:rsidRPr="000F2159">
        <w:rPr>
          <w:rFonts w:ascii="Times New Roman" w:hAnsi="Times New Roman"/>
        </w:rPr>
        <w:t xml:space="preserve"> un saskaņā ar Publisko iepirkumu likuma (turpmāk – PIL) 26.panta pirmo daļu Komisija ir lemttiesīga.</w:t>
      </w:r>
    </w:p>
    <w:p w:rsidR="00B50AEA" w:rsidRPr="00B50AEA" w:rsidRDefault="00131D17" w:rsidP="00833C7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50AEA">
        <w:rPr>
          <w:rFonts w:ascii="Times New Roman" w:eastAsia="Times New Roman" w:hAnsi="Times New Roman"/>
          <w:b/>
          <w:bCs/>
          <w:lang w:eastAsia="lv-LV"/>
        </w:rPr>
        <w:t>3.Iepirkuma priekšmets:</w:t>
      </w:r>
      <w:r w:rsidRPr="00B50AEA">
        <w:rPr>
          <w:rFonts w:ascii="Times New Roman" w:hAnsi="Times New Roman"/>
        </w:rPr>
        <w:t xml:space="preserve"> </w:t>
      </w:r>
      <w:r w:rsidR="000F2159" w:rsidRPr="00B50AEA">
        <w:rPr>
          <w:rFonts w:ascii="Times New Roman" w:hAnsi="Times New Roman"/>
        </w:rPr>
        <w:t>transformatoru apakšstacijas TP1416 elektroiekārtas rekonstrukcija</w:t>
      </w:r>
      <w:r w:rsidR="000F2159" w:rsidRPr="00B50AEA">
        <w:rPr>
          <w:rFonts w:ascii="Times New Roman" w:hAnsi="Times New Roman"/>
          <w:b/>
        </w:rPr>
        <w:t xml:space="preserve"> </w:t>
      </w:r>
      <w:r w:rsidR="000F2159" w:rsidRPr="00B50AEA">
        <w:rPr>
          <w:rFonts w:ascii="Times New Roman" w:hAnsi="Times New Roman"/>
        </w:rPr>
        <w:t xml:space="preserve">Pasūtītāja ēkā Lielvārdes iela 24, Rīgā, atbilstoši Pasūtītāja rīcībā esošajam tehniskajam projektam ,,Esošās transformatoru apakšstacijas TP1416 lietotāja daļas 10/0.4 </w:t>
      </w:r>
      <w:proofErr w:type="spellStart"/>
      <w:r w:rsidR="000F2159" w:rsidRPr="00B50AEA">
        <w:rPr>
          <w:rFonts w:ascii="Times New Roman" w:hAnsi="Times New Roman"/>
        </w:rPr>
        <w:t>kV</w:t>
      </w:r>
      <w:proofErr w:type="spellEnd"/>
      <w:r w:rsidR="000F2159" w:rsidRPr="00B50AEA">
        <w:rPr>
          <w:rFonts w:ascii="Times New Roman" w:hAnsi="Times New Roman"/>
        </w:rPr>
        <w:t xml:space="preserve"> elektroiekārtas rekonstrukcija Lielvārdes ielā 24, Rīgā” (turpmāk – </w:t>
      </w:r>
      <w:r w:rsidR="000F2159" w:rsidRPr="00B50AEA">
        <w:rPr>
          <w:rFonts w:ascii="Times New Roman" w:hAnsi="Times New Roman"/>
          <w:b/>
        </w:rPr>
        <w:t>Tehniskais projekts</w:t>
      </w:r>
      <w:r w:rsidR="000F2159" w:rsidRPr="00B50AEA">
        <w:rPr>
          <w:rFonts w:ascii="Times New Roman" w:hAnsi="Times New Roman"/>
        </w:rPr>
        <w:t>) un saskaņā ar Iepirkuma nolikumā (turpmāk - Nolikums) un tehniskajā specifikācijā (turpmāk – Tehniskā specifikācija), kas ir pievienota šī Nolikuma 2.pielikumā “Tehniskā specifikācija”, noteiktajām prasībām.</w:t>
      </w:r>
    </w:p>
    <w:p w:rsidR="0030105A" w:rsidRPr="00B50AEA" w:rsidRDefault="00131D17" w:rsidP="00833C7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50AEA">
        <w:rPr>
          <w:rFonts w:ascii="Times New Roman" w:hAnsi="Times New Roman"/>
          <w:b/>
        </w:rPr>
        <w:t>4.</w:t>
      </w:r>
      <w:r w:rsidRPr="00B50AEA">
        <w:rPr>
          <w:rFonts w:ascii="Times New Roman" w:eastAsia="Times New Roman" w:hAnsi="Times New Roman"/>
          <w:b/>
          <w:bCs/>
          <w:lang w:eastAsia="lv-LV"/>
        </w:rPr>
        <w:t xml:space="preserve"> CPV nomenklatūras kods:</w:t>
      </w:r>
      <w:r w:rsidRPr="00B50AEA">
        <w:rPr>
          <w:rFonts w:ascii="Times New Roman" w:hAnsi="Times New Roman"/>
          <w:b/>
        </w:rPr>
        <w:t xml:space="preserve"> </w:t>
      </w:r>
      <w:r w:rsidR="0030105A" w:rsidRPr="00B50AEA">
        <w:rPr>
          <w:rFonts w:ascii="Times New Roman" w:hAnsi="Times New Roman"/>
          <w:b/>
        </w:rPr>
        <w:t xml:space="preserve">Galvenās CPV kods: </w:t>
      </w:r>
      <w:r w:rsidR="0030105A" w:rsidRPr="00B50AEA">
        <w:rPr>
          <w:rFonts w:ascii="Times New Roman" w:hAnsi="Times New Roman"/>
        </w:rPr>
        <w:t xml:space="preserve">45232221-7 (Transformatoru apakšstacija.). </w:t>
      </w:r>
      <w:r w:rsidR="0030105A" w:rsidRPr="00B50AEA">
        <w:rPr>
          <w:rFonts w:ascii="Times New Roman" w:hAnsi="Times New Roman"/>
          <w:b/>
        </w:rPr>
        <w:t xml:space="preserve">Papildu CPV kods: </w:t>
      </w:r>
      <w:r w:rsidR="0030105A" w:rsidRPr="00B50AEA">
        <w:rPr>
          <w:rFonts w:ascii="Times New Roman" w:hAnsi="Times New Roman"/>
        </w:rPr>
        <w:t>45317200-4 (Transformatoru elektroinstalācijas darbi.).</w:t>
      </w:r>
    </w:p>
    <w:p w:rsidR="003D41A5" w:rsidRDefault="00131D17" w:rsidP="00833C7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50AEA">
        <w:rPr>
          <w:rFonts w:ascii="Times New Roman" w:hAnsi="Times New Roman"/>
          <w:b/>
        </w:rPr>
        <w:t>5.</w:t>
      </w:r>
      <w:r w:rsidRPr="00B50AEA">
        <w:rPr>
          <w:rFonts w:ascii="Times New Roman" w:eastAsia="Times New Roman" w:hAnsi="Times New Roman"/>
          <w:b/>
          <w:bCs/>
          <w:lang w:eastAsia="lv-LV"/>
        </w:rPr>
        <w:t xml:space="preserve"> Piedāvājuma izvēles kritērijs:</w:t>
      </w:r>
      <w:r w:rsidRPr="00B50AEA">
        <w:rPr>
          <w:rFonts w:ascii="Times New Roman" w:hAnsi="Times New Roman"/>
          <w:b/>
        </w:rPr>
        <w:t xml:space="preserve"> </w:t>
      </w:r>
      <w:r w:rsidR="00B50AEA" w:rsidRPr="00B50AEA">
        <w:rPr>
          <w:rFonts w:ascii="Times New Roman" w:hAnsi="Times New Roman"/>
        </w:rPr>
        <w:t>Nolikuma</w:t>
      </w:r>
      <w:r w:rsidR="00B50AEA" w:rsidRPr="00B50AEA">
        <w:rPr>
          <w:rFonts w:ascii="Times New Roman" w:hAnsi="Times New Roman"/>
          <w:b/>
        </w:rPr>
        <w:t xml:space="preserve"> </w:t>
      </w:r>
      <w:r w:rsidR="00B50AEA" w:rsidRPr="00B50AEA">
        <w:rPr>
          <w:rFonts w:ascii="Times New Roman" w:hAnsi="Times New Roman"/>
        </w:rPr>
        <w:t>prasībām</w:t>
      </w:r>
      <w:r w:rsidR="00B50AEA" w:rsidRPr="00B50AEA">
        <w:rPr>
          <w:rFonts w:ascii="Times New Roman" w:hAnsi="Times New Roman"/>
          <w:b/>
        </w:rPr>
        <w:t xml:space="preserve"> </w:t>
      </w:r>
      <w:r w:rsidR="00B50AEA" w:rsidRPr="00B50AEA">
        <w:rPr>
          <w:rFonts w:ascii="Times New Roman" w:hAnsi="Times New Roman"/>
        </w:rPr>
        <w:t>atbilstošs saimnieciski visizdevīgākais piedāvājums, kuru nosaka ņemot vērā cenu (EUR bez PVN) un ar Iepirkuma līgumu saistītus kritērijus</w:t>
      </w:r>
      <w:r w:rsidR="003D41A5">
        <w:rPr>
          <w:rFonts w:ascii="Times New Roman" w:hAnsi="Times New Roman"/>
        </w:rPr>
        <w:t>: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4104"/>
        <w:gridCol w:w="2057"/>
      </w:tblGrid>
      <w:tr w:rsidR="003D41A5" w:rsidRPr="002828D3" w:rsidTr="00AF4E56">
        <w:tc>
          <w:tcPr>
            <w:tcW w:w="959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ind w:left="360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2828D3">
              <w:rPr>
                <w:b/>
                <w:sz w:val="22"/>
                <w:szCs w:val="22"/>
                <w:lang w:val="lv-LV"/>
              </w:rPr>
              <w:t>Nr.p.k</w:t>
            </w:r>
            <w:proofErr w:type="spellEnd"/>
            <w:r w:rsidRPr="002828D3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410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Piedāvājuma izvērtēšanas kritēriji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Vērtēšana</w:t>
            </w:r>
          </w:p>
        </w:tc>
        <w:tc>
          <w:tcPr>
            <w:tcW w:w="2057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Maksimālais punktu skaits</w:t>
            </w:r>
          </w:p>
        </w:tc>
      </w:tr>
      <w:tr w:rsidR="003D41A5" w:rsidRPr="002828D3" w:rsidTr="00AF4E56">
        <w:tc>
          <w:tcPr>
            <w:tcW w:w="959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 xml:space="preserve">    1.</w:t>
            </w:r>
          </w:p>
        </w:tc>
        <w:tc>
          <w:tcPr>
            <w:tcW w:w="2410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Piedāvātā cena EUR bez PVN (C)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after="0"/>
              <w:rPr>
                <w:sz w:val="22"/>
                <w:szCs w:val="22"/>
                <w:lang w:val="lv-LV"/>
              </w:rPr>
            </w:pPr>
            <w:r w:rsidRPr="002828D3">
              <w:rPr>
                <w:sz w:val="22"/>
                <w:szCs w:val="22"/>
                <w:lang w:val="lv-LV"/>
              </w:rPr>
              <w:t xml:space="preserve">Pretendenta piedāvātās cenas skaitlisko vērtējumu aprēķina saskaņā ar Pretendenta finanšu piedāvājumā norādīto cenu (skatīt </w:t>
            </w:r>
            <w:r w:rsidRPr="002828D3">
              <w:rPr>
                <w:sz w:val="22"/>
                <w:szCs w:val="22"/>
                <w:lang w:val="lv-LV"/>
              </w:rPr>
              <w:lastRenderedPageBreak/>
              <w:t>Nolikuma 3.pielikumu “Finanšu piedāvājums un Darbu tāme”) pēc šādas formulas:</w:t>
            </w:r>
          </w:p>
          <w:p w:rsidR="003D41A5" w:rsidRPr="002828D3" w:rsidRDefault="003D41A5" w:rsidP="00AF4E56">
            <w:pPr>
              <w:spacing w:before="10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2828D3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C = </w:t>
            </w:r>
            <w:r w:rsidRPr="002828D3">
              <w:rPr>
                <w:rFonts w:ascii="Times New Roman" w:hAnsi="Times New Roman"/>
                <w:b/>
                <w:iCs/>
                <w:position w:val="-32"/>
                <w:sz w:val="22"/>
                <w:szCs w:val="22"/>
              </w:rPr>
              <w:object w:dxaOrig="841" w:dyaOrig="7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35.05pt;mso-position-horizontal-relative:page;mso-position-vertical-relative:page" o:ole="">
                  <v:imagedata r:id="rId7" o:title=""/>
                </v:shape>
                <o:OLEObject Type="Embed" ProgID="Equation.3" ShapeID="_x0000_i1025" DrawAspect="Content" ObjectID="_1580735940" r:id="rId8"/>
              </w:object>
            </w:r>
            <w:r w:rsidRPr="002828D3">
              <w:rPr>
                <w:rFonts w:ascii="Times New Roman" w:hAnsi="Times New Roman"/>
                <w:b/>
                <w:iCs/>
                <w:sz w:val="22"/>
                <w:szCs w:val="22"/>
              </w:rPr>
              <w:t>,</w:t>
            </w:r>
            <w:r w:rsidRPr="002828D3">
              <w:rPr>
                <w:rFonts w:ascii="Times New Roman" w:hAnsi="Times New Roman"/>
                <w:iCs/>
                <w:sz w:val="22"/>
                <w:szCs w:val="22"/>
              </w:rPr>
              <w:t xml:space="preserve"> kur </w:t>
            </w:r>
            <w:r w:rsidRPr="002828D3">
              <w:rPr>
                <w:rFonts w:ascii="Times New Roman" w:hAnsi="Times New Roman"/>
                <w:iCs/>
                <w:position w:val="-12"/>
                <w:sz w:val="22"/>
                <w:szCs w:val="22"/>
              </w:rPr>
              <w:object w:dxaOrig="362" w:dyaOrig="362">
                <v:shape id="_x0000_i1026" type="#_x0000_t75" style="width:18.15pt;height:18.15pt;mso-position-horizontal-relative:page;mso-position-vertical-relative:page" o:ole="">
                  <v:imagedata r:id="rId9" o:title=""/>
                </v:shape>
                <o:OLEObject Type="Embed" ProgID="Equation.3" ShapeID="_x0000_i1026" DrawAspect="Content" ObjectID="_1580735941" r:id="rId10"/>
              </w:object>
            </w:r>
            <w:r w:rsidRPr="002828D3">
              <w:rPr>
                <w:rFonts w:ascii="Times New Roman" w:hAnsi="Times New Roman"/>
                <w:iCs/>
                <w:sz w:val="22"/>
                <w:szCs w:val="22"/>
              </w:rPr>
              <w:t xml:space="preserve"> – viszemākā piedāvātā cena, </w:t>
            </w:r>
            <w:r w:rsidRPr="002828D3">
              <w:rPr>
                <w:rFonts w:ascii="Times New Roman" w:hAnsi="Times New Roman"/>
                <w:iCs/>
                <w:position w:val="-14"/>
                <w:sz w:val="22"/>
                <w:szCs w:val="22"/>
              </w:rPr>
              <w:object w:dxaOrig="402" w:dyaOrig="382">
                <v:shape id="_x0000_i1027" type="#_x0000_t75" style="width:20.05pt;height:18.8pt;mso-position-horizontal-relative:page;mso-position-vertical-relative:page" o:ole="">
                  <v:imagedata r:id="rId11" o:title=""/>
                </v:shape>
                <o:OLEObject Type="Embed" ProgID="Equation.3" ShapeID="_x0000_i1027" DrawAspect="Content" ObjectID="_1580735942" r:id="rId12"/>
              </w:object>
            </w:r>
            <w:r w:rsidRPr="002828D3">
              <w:rPr>
                <w:rFonts w:ascii="Times New Roman" w:hAnsi="Times New Roman"/>
                <w:iCs/>
                <w:sz w:val="22"/>
                <w:szCs w:val="22"/>
              </w:rPr>
              <w:t>– vērtējamā piedāvājuma cena, N – cenas kritērija maksimālā skaitliskā vērtība.</w:t>
            </w:r>
          </w:p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left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057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lastRenderedPageBreak/>
              <w:t>50</w:t>
            </w:r>
          </w:p>
        </w:tc>
      </w:tr>
      <w:tr w:rsidR="003D41A5" w:rsidRPr="002828D3" w:rsidTr="00AF4E56">
        <w:tc>
          <w:tcPr>
            <w:tcW w:w="959" w:type="dxa"/>
            <w:vMerge w:val="restart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lastRenderedPageBreak/>
              <w:t xml:space="preserve">    2.</w:t>
            </w:r>
          </w:p>
        </w:tc>
        <w:tc>
          <w:tcPr>
            <w:tcW w:w="2410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/>
              <w:rPr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 xml:space="preserve">Piedāvātais būvdarbu izpildes termiņš (T): </w:t>
            </w:r>
          </w:p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/>
              <w:rPr>
                <w:sz w:val="22"/>
                <w:szCs w:val="22"/>
                <w:lang w:val="lv-LV"/>
              </w:rPr>
            </w:pPr>
          </w:p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104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after="120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sz w:val="22"/>
                <w:szCs w:val="22"/>
                <w:lang w:val="lv-LV"/>
              </w:rPr>
              <w:t xml:space="preserve">Pretendenta piedāvātā būvdarbu izpildes termiņa skaitlisko vērtējumu aprēķina saskaņā ar Pretendenta tehniskajā piedāvājumā norādīto </w:t>
            </w:r>
            <w:r w:rsidRPr="002828D3">
              <w:rPr>
                <w:b/>
                <w:sz w:val="22"/>
                <w:szCs w:val="22"/>
                <w:lang w:val="lv-LV"/>
              </w:rPr>
              <w:t>būvdarbu izpildes termiņu</w:t>
            </w:r>
            <w:r w:rsidRPr="002828D3">
              <w:rPr>
                <w:sz w:val="22"/>
                <w:szCs w:val="22"/>
                <w:lang w:val="lv-LV"/>
              </w:rPr>
              <w:t xml:space="preserve"> (skatīt Nolikuma 2.pielikumu “Tehniskā specifikācija”) atbilstoši tabulā norādītajam diapazonam:</w:t>
            </w:r>
          </w:p>
        </w:tc>
        <w:tc>
          <w:tcPr>
            <w:tcW w:w="2057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40</w:t>
            </w: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tabs>
                <w:tab w:val="left" w:pos="426"/>
              </w:tabs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sz w:val="22"/>
                <w:szCs w:val="22"/>
              </w:rPr>
              <w:t>Piedāvātais būvdarbu izpildes termiņš: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tabs>
                <w:tab w:val="left" w:pos="426"/>
              </w:tabs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Piešķirto punktu skaits:</w:t>
            </w:r>
          </w:p>
        </w:tc>
        <w:tc>
          <w:tcPr>
            <w:tcW w:w="2057" w:type="dxa"/>
            <w:vMerge w:val="restart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2 mēneši vai īsāks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40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3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30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4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20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5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6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 w:val="restart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3.</w:t>
            </w:r>
          </w:p>
        </w:tc>
        <w:tc>
          <w:tcPr>
            <w:tcW w:w="2410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 xml:space="preserve">Piedāvātais izpildīto būvdarbu garantijas termiņš (G): </w:t>
            </w:r>
          </w:p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104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after="120"/>
              <w:rPr>
                <w:sz w:val="22"/>
                <w:szCs w:val="22"/>
                <w:lang w:val="lv-LV"/>
              </w:rPr>
            </w:pPr>
            <w:r w:rsidRPr="002828D3">
              <w:rPr>
                <w:sz w:val="22"/>
                <w:szCs w:val="22"/>
                <w:lang w:val="lv-LV"/>
              </w:rPr>
              <w:t xml:space="preserve">Pretendenta piedāvātā izpildīto būvdarbu garantijas termiņa skaitlisko vērtējumu aprēķina saskaņā ar Pretendenta tehniskajā piedāvājumā norādīto </w:t>
            </w:r>
            <w:r w:rsidRPr="002828D3">
              <w:rPr>
                <w:b/>
                <w:sz w:val="22"/>
                <w:szCs w:val="22"/>
                <w:lang w:val="lv-LV"/>
              </w:rPr>
              <w:t>izpildīto</w:t>
            </w:r>
            <w:r w:rsidRPr="002828D3">
              <w:rPr>
                <w:sz w:val="22"/>
                <w:szCs w:val="22"/>
                <w:lang w:val="lv-LV"/>
              </w:rPr>
              <w:t xml:space="preserve"> </w:t>
            </w:r>
            <w:r w:rsidRPr="002828D3">
              <w:rPr>
                <w:b/>
                <w:sz w:val="22"/>
                <w:szCs w:val="22"/>
                <w:lang w:val="lv-LV"/>
              </w:rPr>
              <w:t>būvdarbu garantijas termiņu</w:t>
            </w:r>
            <w:r w:rsidRPr="002828D3">
              <w:rPr>
                <w:sz w:val="22"/>
                <w:szCs w:val="22"/>
                <w:lang w:val="lv-LV"/>
              </w:rPr>
              <w:t xml:space="preserve"> (skatīt Nolikuma 2.pielikumu “Tehniskā specifikācija”) atbilstoši  tabulā norādītajam diapazonam:</w:t>
            </w:r>
          </w:p>
        </w:tc>
        <w:tc>
          <w:tcPr>
            <w:tcW w:w="2057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10</w:t>
            </w: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tabs>
                <w:tab w:val="left" w:pos="426"/>
              </w:tabs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sz w:val="22"/>
                <w:szCs w:val="22"/>
              </w:rPr>
              <w:t>Piedāvātais izpildīto būvdarbu garantijas termiņš: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tabs>
                <w:tab w:val="left" w:pos="426"/>
              </w:tabs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Piešķirto punktu skaits:</w:t>
            </w:r>
          </w:p>
        </w:tc>
        <w:tc>
          <w:tcPr>
            <w:tcW w:w="2057" w:type="dxa"/>
            <w:vMerge w:val="restart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36 mēneši vai garāks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no 31 līdz 35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9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no 28 līdz 30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no 25 līdz 27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b/>
                <w:sz w:val="22"/>
                <w:szCs w:val="22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24 mēneši</w:t>
            </w:r>
          </w:p>
        </w:tc>
        <w:tc>
          <w:tcPr>
            <w:tcW w:w="4104" w:type="dxa"/>
          </w:tcPr>
          <w:p w:rsidR="003D41A5" w:rsidRPr="002828D3" w:rsidRDefault="003D41A5" w:rsidP="00AF4E56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28D3">
              <w:rPr>
                <w:rFonts w:ascii="Times New Roman" w:hAnsi="Times New Roman"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2057" w:type="dxa"/>
            <w:vMerge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3D41A5" w:rsidRPr="002828D3" w:rsidTr="00AF4E56">
        <w:tc>
          <w:tcPr>
            <w:tcW w:w="959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6514" w:type="dxa"/>
            <w:gridSpan w:val="2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Maksimālais iespējamais kopējais punktu skaits (K):</w:t>
            </w:r>
          </w:p>
        </w:tc>
        <w:tc>
          <w:tcPr>
            <w:tcW w:w="2057" w:type="dxa"/>
          </w:tcPr>
          <w:p w:rsidR="003D41A5" w:rsidRPr="002828D3" w:rsidRDefault="003D41A5" w:rsidP="00AF4E56">
            <w:pPr>
              <w:pStyle w:val="naisf"/>
              <w:tabs>
                <w:tab w:val="left" w:pos="0"/>
              </w:tabs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2828D3">
              <w:rPr>
                <w:b/>
                <w:sz w:val="22"/>
                <w:szCs w:val="22"/>
                <w:lang w:val="lv-LV"/>
              </w:rPr>
              <w:t>100</w:t>
            </w:r>
          </w:p>
        </w:tc>
      </w:tr>
    </w:tbl>
    <w:p w:rsidR="00050565" w:rsidRDefault="00050565" w:rsidP="002828D3">
      <w:pPr>
        <w:pStyle w:val="ListParagraph"/>
        <w:widowControl w:val="0"/>
        <w:overflowPunct w:val="0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/>
          <w:b/>
        </w:rPr>
      </w:pPr>
    </w:p>
    <w:p w:rsidR="002828D3" w:rsidRPr="00833C79" w:rsidRDefault="00833C79" w:rsidP="002828D3">
      <w:pPr>
        <w:pStyle w:val="ListParagraph"/>
        <w:widowControl w:val="0"/>
        <w:overflowPunct w:val="0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/>
        </w:rPr>
      </w:pPr>
      <w:r w:rsidRPr="00833C79">
        <w:rPr>
          <w:rFonts w:ascii="Times New Roman" w:hAnsi="Times New Roman"/>
          <w:b/>
        </w:rPr>
        <w:t>5.1.</w:t>
      </w:r>
      <w:r w:rsidR="003D41A5" w:rsidRPr="00833C79">
        <w:rPr>
          <w:rFonts w:ascii="Times New Roman" w:hAnsi="Times New Roman"/>
        </w:rPr>
        <w:t xml:space="preserve">Saimnieciski visizdevīgāko piedāvājumu nosaka pēc formulas </w:t>
      </w:r>
      <w:r w:rsidR="003D41A5" w:rsidRPr="00833C79">
        <w:rPr>
          <w:rFonts w:ascii="Times New Roman" w:hAnsi="Times New Roman"/>
          <w:b/>
        </w:rPr>
        <w:t xml:space="preserve">(K)=(C)+(T)+(G), </w:t>
      </w:r>
      <w:r w:rsidR="003D41A5" w:rsidRPr="00833C79">
        <w:rPr>
          <w:rFonts w:ascii="Times New Roman" w:hAnsi="Times New Roman"/>
        </w:rPr>
        <w:t xml:space="preserve">kur (K) – Kopējais punktu skaits; (C) – piedāvātās cenas skaitliskais vērtējums; (T) – piedāvātā būvdarbu izpildes termiņa skaitliskais vērtējums; (G) – piedāvātā izpildīto būvdarbu garantijas termiņa skaitliskais vērtējums. </w:t>
      </w:r>
    </w:p>
    <w:p w:rsidR="002828D3" w:rsidRPr="00833C79" w:rsidRDefault="00B50AEA" w:rsidP="002828D3">
      <w:pPr>
        <w:pStyle w:val="ListParagraph"/>
        <w:widowControl w:val="0"/>
        <w:overflowPunct w:val="0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 New Roman" w:hAnsi="Times New Roman"/>
          <w:bCs/>
          <w:lang w:eastAsia="lv-LV"/>
        </w:rPr>
      </w:pPr>
      <w:r w:rsidRPr="00833C79">
        <w:rPr>
          <w:rFonts w:ascii="Times New Roman" w:hAnsi="Times New Roman"/>
        </w:rPr>
        <w:t xml:space="preserve"> </w:t>
      </w:r>
      <w:r w:rsidR="00131D17" w:rsidRPr="00833C79">
        <w:rPr>
          <w:rFonts w:ascii="Times New Roman" w:hAnsi="Times New Roman"/>
          <w:b/>
        </w:rPr>
        <w:t>6.</w:t>
      </w:r>
      <w:smartTag w:uri="schemas-tilde-lv/tildestengine" w:element="phone">
        <w:smartTagPr>
          <w:attr w:name="text" w:val="Paziņojums"/>
          <w:attr w:name="id" w:val="-1"/>
          <w:attr w:name="baseform" w:val="Paziņojums"/>
        </w:smartTagPr>
        <w:r w:rsidR="00131D17" w:rsidRPr="00833C79">
          <w:rPr>
            <w:rFonts w:ascii="Times New Roman" w:eastAsia="Times New Roman" w:hAnsi="Times New Roman"/>
            <w:b/>
            <w:bCs/>
            <w:lang w:eastAsia="lv-LV"/>
          </w:rPr>
          <w:t xml:space="preserve"> </w:t>
        </w:r>
        <w:r w:rsidR="00131D17" w:rsidRPr="00833C79">
          <w:rPr>
            <w:rFonts w:ascii="Times New Roman" w:eastAsia="Times New Roman" w:hAnsi="Times New Roman"/>
            <w:bCs/>
            <w:lang w:eastAsia="lv-LV"/>
          </w:rPr>
          <w:t>Paziņojums</w:t>
        </w:r>
      </w:smartTag>
      <w:r w:rsidR="00131D17" w:rsidRPr="00833C79">
        <w:rPr>
          <w:rFonts w:ascii="Times New Roman" w:eastAsia="Times New Roman" w:hAnsi="Times New Roman"/>
          <w:bCs/>
          <w:lang w:eastAsia="lv-LV"/>
        </w:rPr>
        <w:t xml:space="preserve"> par plānoto </w:t>
      </w:r>
      <w:smartTag w:uri="schemas-tilde-lv/tildestengine" w:element="phone">
        <w:smartTagPr>
          <w:attr w:name="text" w:val="līgumu"/>
          <w:attr w:name="id" w:val="-1"/>
          <w:attr w:name="baseform" w:val="līgum|s"/>
        </w:smartTagPr>
        <w:r w:rsidR="00131D17" w:rsidRPr="00833C79">
          <w:rPr>
            <w:rFonts w:ascii="Times New Roman" w:eastAsia="Times New Roman" w:hAnsi="Times New Roman"/>
            <w:bCs/>
            <w:lang w:eastAsia="lv-LV"/>
          </w:rPr>
          <w:t>līgumu</w:t>
        </w:r>
      </w:smartTag>
      <w:r w:rsidR="00131D17" w:rsidRPr="00833C79">
        <w:rPr>
          <w:rFonts w:ascii="Times New Roman" w:eastAsia="Times New Roman" w:hAnsi="Times New Roman"/>
          <w:bCs/>
          <w:lang w:eastAsia="lv-LV"/>
        </w:rPr>
        <w:t xml:space="preserve"> publicēts Iepirkumu uzraudzības biroja mājaslapā (</w:t>
      </w:r>
      <w:hyperlink r:id="rId13" w:history="1">
        <w:r w:rsidR="00131D17" w:rsidRPr="00833C79">
          <w:rPr>
            <w:rFonts w:ascii="Times New Roman" w:eastAsia="Times New Roman" w:hAnsi="Times New Roman"/>
            <w:bCs/>
            <w:color w:val="000000"/>
            <w:lang w:eastAsia="lv-LV"/>
          </w:rPr>
          <w:t>www.iub.gov.lv</w:t>
        </w:r>
      </w:hyperlink>
      <w:r w:rsidR="00131D17" w:rsidRPr="00833C79">
        <w:rPr>
          <w:rFonts w:ascii="Times New Roman" w:eastAsia="Times New Roman" w:hAnsi="Times New Roman"/>
          <w:bCs/>
          <w:lang w:eastAsia="lv-LV"/>
        </w:rPr>
        <w:t xml:space="preserve">): 2017.gada </w:t>
      </w:r>
      <w:r w:rsidRPr="00833C79">
        <w:rPr>
          <w:rFonts w:ascii="Times New Roman" w:eastAsia="Times New Roman" w:hAnsi="Times New Roman"/>
          <w:bCs/>
          <w:lang w:eastAsia="lv-LV"/>
        </w:rPr>
        <w:t>01</w:t>
      </w:r>
      <w:r w:rsidR="00131D17" w:rsidRPr="00833C79">
        <w:rPr>
          <w:rFonts w:ascii="Times New Roman" w:eastAsia="Times New Roman" w:hAnsi="Times New Roman"/>
          <w:bCs/>
          <w:lang w:eastAsia="lv-LV"/>
        </w:rPr>
        <w:t>.</w:t>
      </w:r>
      <w:r w:rsidRPr="00833C79">
        <w:rPr>
          <w:rFonts w:ascii="Times New Roman" w:eastAsia="Times New Roman" w:hAnsi="Times New Roman"/>
          <w:bCs/>
          <w:lang w:eastAsia="lv-LV"/>
        </w:rPr>
        <w:t>decembrī</w:t>
      </w:r>
      <w:r w:rsidR="00131D17" w:rsidRPr="00833C79">
        <w:rPr>
          <w:rFonts w:ascii="Times New Roman" w:eastAsia="Times New Roman" w:hAnsi="Times New Roman"/>
          <w:bCs/>
          <w:lang w:eastAsia="lv-LV"/>
        </w:rPr>
        <w:t>.</w:t>
      </w:r>
    </w:p>
    <w:p w:rsidR="00131D17" w:rsidRDefault="00131D17" w:rsidP="002828D3">
      <w:pPr>
        <w:pStyle w:val="ListParagraph"/>
        <w:widowControl w:val="0"/>
        <w:overflowPunct w:val="0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 New Roman" w:hAnsi="Times New Roman"/>
          <w:bCs/>
          <w:lang w:eastAsia="lv-LV"/>
        </w:rPr>
      </w:pPr>
      <w:r w:rsidRPr="00833C79">
        <w:rPr>
          <w:rFonts w:ascii="Times New Roman" w:hAnsi="Times New Roman"/>
          <w:b/>
        </w:rPr>
        <w:t xml:space="preserve">7. </w:t>
      </w:r>
      <w:r w:rsidRPr="00833C79">
        <w:rPr>
          <w:rFonts w:ascii="Times New Roman" w:eastAsia="Times New Roman" w:hAnsi="Times New Roman"/>
          <w:bCs/>
          <w:lang w:eastAsia="lv-LV"/>
        </w:rPr>
        <w:t xml:space="preserve">Pretendenti </w:t>
      </w:r>
      <w:r w:rsidRPr="00833C79">
        <w:rPr>
          <w:rFonts w:ascii="Times New Roman" w:hAnsi="Times New Roman"/>
        </w:rPr>
        <w:t>(turpmāk – Pretendenti)</w:t>
      </w:r>
      <w:r w:rsidRPr="00833C79">
        <w:rPr>
          <w:rFonts w:ascii="Times New Roman" w:eastAsia="Times New Roman" w:hAnsi="Times New Roman"/>
          <w:bCs/>
          <w:lang w:eastAsia="lv-LV"/>
        </w:rPr>
        <w:t xml:space="preserve">, kuri </w:t>
      </w:r>
      <w:r w:rsidRPr="00833C79">
        <w:rPr>
          <w:rFonts w:ascii="Times New Roman" w:eastAsia="Times New Roman" w:hAnsi="Times New Roman"/>
          <w:b/>
          <w:bCs/>
          <w:lang w:eastAsia="lv-LV"/>
        </w:rPr>
        <w:t xml:space="preserve">līdz 2017.gada </w:t>
      </w:r>
      <w:r w:rsidR="00B50AEA" w:rsidRPr="00833C79">
        <w:rPr>
          <w:rFonts w:ascii="Times New Roman" w:eastAsia="Times New Roman" w:hAnsi="Times New Roman"/>
          <w:b/>
          <w:bCs/>
          <w:lang w:eastAsia="lv-LV"/>
        </w:rPr>
        <w:t>1</w:t>
      </w:r>
      <w:r w:rsidRPr="00833C79">
        <w:rPr>
          <w:rFonts w:ascii="Times New Roman" w:eastAsia="Times New Roman" w:hAnsi="Times New Roman"/>
          <w:b/>
          <w:bCs/>
          <w:lang w:eastAsia="lv-LV"/>
        </w:rPr>
        <w:t>5.decembrim, plkst.11:00</w:t>
      </w:r>
      <w:r w:rsidRPr="00833C79">
        <w:rPr>
          <w:rFonts w:ascii="Times New Roman" w:eastAsia="Times New Roman" w:hAnsi="Times New Roman"/>
          <w:bCs/>
          <w:lang w:eastAsia="lv-LV"/>
        </w:rPr>
        <w:t>, iesniedza piedāvājumus (skatīt 1.tabulu):</w:t>
      </w:r>
    </w:p>
    <w:p w:rsidR="00050565" w:rsidRPr="00833C79" w:rsidRDefault="00050565" w:rsidP="002828D3">
      <w:pPr>
        <w:pStyle w:val="ListParagraph"/>
        <w:widowControl w:val="0"/>
        <w:overflowPunct w:val="0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/>
        </w:rPr>
      </w:pPr>
    </w:p>
    <w:p w:rsidR="000177B7" w:rsidRPr="000177B7" w:rsidRDefault="000177B7" w:rsidP="000177B7">
      <w:pPr>
        <w:ind w:left="360"/>
        <w:jc w:val="right"/>
        <w:rPr>
          <w:rFonts w:ascii="Times New Roman" w:hAnsi="Times New Roman"/>
          <w:b/>
          <w:u w:val="single"/>
        </w:rPr>
      </w:pPr>
      <w:r w:rsidRPr="000177B7">
        <w:rPr>
          <w:rFonts w:ascii="Times New Roman" w:hAnsi="Times New Roman"/>
          <w:b/>
          <w:u w:val="single"/>
        </w:rPr>
        <w:lastRenderedPageBreak/>
        <w:t>1.tabula</w:t>
      </w:r>
    </w:p>
    <w:tbl>
      <w:tblPr>
        <w:tblW w:w="95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3492"/>
        <w:gridCol w:w="2423"/>
        <w:gridCol w:w="2488"/>
      </w:tblGrid>
      <w:tr w:rsidR="000177B7" w:rsidRPr="00AB10D4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0177B7">
              <w:rPr>
                <w:rFonts w:ascii="Times New Roman" w:hAnsi="Times New Roman"/>
                <w:b/>
              </w:rPr>
              <w:t>Nr.p.k</w:t>
            </w:r>
            <w:proofErr w:type="spellEnd"/>
            <w:r w:rsidRPr="000177B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jc w:val="center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 xml:space="preserve">Pretendenti </w:t>
            </w:r>
          </w:p>
          <w:p w:rsidR="000177B7" w:rsidRPr="000177B7" w:rsidRDefault="000177B7" w:rsidP="00AF4E56">
            <w:pPr>
              <w:pStyle w:val="BodyText"/>
              <w:jc w:val="center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(Piedāvājumu iesniegšanas secībā)</w:t>
            </w:r>
          </w:p>
          <w:p w:rsidR="000177B7" w:rsidRPr="000177B7" w:rsidRDefault="000177B7" w:rsidP="00AF4E56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  <w:highlight w:val="yellow"/>
              </w:rPr>
            </w:pPr>
            <w:r w:rsidRPr="000177B7">
              <w:rPr>
                <w:rFonts w:ascii="Times New Roman" w:hAnsi="Times New Roman"/>
                <w:b/>
              </w:rPr>
              <w:t>Piedāvājumu iesniegšanas datums un laiks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Pretendentu piedāvātā cena</w:t>
            </w:r>
          </w:p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</w:rPr>
            </w:pPr>
            <w:r w:rsidRPr="000177B7">
              <w:rPr>
                <w:rFonts w:ascii="Times New Roman" w:hAnsi="Times New Roman"/>
              </w:rPr>
              <w:t>(cena EUR bez PVN)</w:t>
            </w:r>
          </w:p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0177B7" w:rsidRPr="00154BDC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Ražošanas komercfirma “L.E.O.” SIA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13.12.2017. plkst.12:50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38 645,60</w:t>
            </w:r>
          </w:p>
        </w:tc>
      </w:tr>
      <w:tr w:rsidR="000177B7" w:rsidRPr="00154BDC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Sabiedrība ar ierobežotu atbildību “</w:t>
            </w:r>
            <w:proofErr w:type="spellStart"/>
            <w:r w:rsidRPr="000177B7">
              <w:rPr>
                <w:b/>
                <w:szCs w:val="24"/>
              </w:rPr>
              <w:t>Reck</w:t>
            </w:r>
            <w:proofErr w:type="spellEnd"/>
            <w:r w:rsidRPr="000177B7">
              <w:rPr>
                <w:b/>
                <w:szCs w:val="24"/>
              </w:rPr>
              <w:t>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14.12.2017. plkst.15:15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27 054,03</w:t>
            </w:r>
          </w:p>
        </w:tc>
      </w:tr>
      <w:tr w:rsidR="000177B7" w:rsidRPr="00154BDC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SIA “REDEX”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15.12.2017. plkst.09:20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25 543,26</w:t>
            </w:r>
          </w:p>
        </w:tc>
      </w:tr>
      <w:tr w:rsidR="000177B7" w:rsidRPr="00154BDC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Sabiedrība ar ierobežotu atbildību “KVĒLE”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15.12.2017. plkst.09:45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30 574,25</w:t>
            </w:r>
          </w:p>
        </w:tc>
      </w:tr>
      <w:tr w:rsidR="000177B7" w:rsidRPr="00154BDC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SIA “</w:t>
            </w:r>
            <w:proofErr w:type="spellStart"/>
            <w:r w:rsidRPr="000177B7">
              <w:rPr>
                <w:b/>
                <w:szCs w:val="24"/>
              </w:rPr>
              <w:t>Ditra</w:t>
            </w:r>
            <w:proofErr w:type="spellEnd"/>
            <w:r w:rsidRPr="000177B7">
              <w:rPr>
                <w:b/>
                <w:szCs w:val="24"/>
              </w:rPr>
              <w:t xml:space="preserve"> </w:t>
            </w:r>
            <w:proofErr w:type="spellStart"/>
            <w:r w:rsidRPr="000177B7">
              <w:rPr>
                <w:b/>
                <w:szCs w:val="24"/>
              </w:rPr>
              <w:t>Networks</w:t>
            </w:r>
            <w:proofErr w:type="spellEnd"/>
            <w:r w:rsidRPr="000177B7">
              <w:rPr>
                <w:b/>
                <w:szCs w:val="24"/>
              </w:rPr>
              <w:t>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15.12.2017. plkst.10:10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30 013,92</w:t>
            </w:r>
          </w:p>
        </w:tc>
      </w:tr>
      <w:tr w:rsidR="000177B7" w:rsidRPr="00154BDC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SIA RKF “SEDL”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15.12.2017. plkst.10:25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48 542,67</w:t>
            </w:r>
          </w:p>
        </w:tc>
      </w:tr>
      <w:tr w:rsidR="000177B7" w:rsidRPr="00154BDC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Sabiedrība ar ierobežotu atbildību “LATVIJAS ENERGOCELTNIEKS”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15.12.2017. plkst.10:35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B7" w:rsidRPr="000177B7" w:rsidRDefault="000177B7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 xml:space="preserve">37 997,73 </w:t>
            </w:r>
          </w:p>
        </w:tc>
      </w:tr>
    </w:tbl>
    <w:p w:rsidR="00833C79" w:rsidRDefault="00833C79" w:rsidP="00833C79">
      <w:pPr>
        <w:jc w:val="both"/>
        <w:outlineLvl w:val="0"/>
        <w:rPr>
          <w:rFonts w:ascii="Times New Roman" w:hAnsi="Times New Roman"/>
          <w:b/>
          <w:bCs/>
          <w:lang w:eastAsia="lv-LV"/>
        </w:rPr>
      </w:pPr>
    </w:p>
    <w:p w:rsidR="00D425D3" w:rsidRDefault="00D425D3" w:rsidP="00833C79">
      <w:pPr>
        <w:jc w:val="both"/>
        <w:outlineLvl w:val="0"/>
        <w:rPr>
          <w:rFonts w:ascii="Times New Roman" w:hAnsi="Times New Roman"/>
          <w:bCs/>
          <w:lang w:eastAsia="lv-LV"/>
        </w:rPr>
      </w:pPr>
      <w:r w:rsidRPr="00D425D3">
        <w:rPr>
          <w:rFonts w:ascii="Times New Roman" w:hAnsi="Times New Roman"/>
          <w:b/>
          <w:bCs/>
          <w:lang w:eastAsia="lv-LV"/>
        </w:rPr>
        <w:t>8.</w:t>
      </w:r>
      <w:r>
        <w:rPr>
          <w:rFonts w:ascii="Times New Roman" w:hAnsi="Times New Roman"/>
          <w:b/>
          <w:bCs/>
          <w:lang w:eastAsia="lv-LV"/>
        </w:rPr>
        <w:t xml:space="preserve"> </w:t>
      </w:r>
      <w:r w:rsidRPr="006D7D18">
        <w:rPr>
          <w:rFonts w:ascii="Times New Roman" w:hAnsi="Times New Roman"/>
          <w:bCs/>
          <w:lang w:eastAsia="lv-LV"/>
        </w:rPr>
        <w:t xml:space="preserve">Pretendentu piedāvājumu atbilstība </w:t>
      </w:r>
      <w:r w:rsidR="00B87582">
        <w:rPr>
          <w:rFonts w:ascii="Times New Roman" w:hAnsi="Times New Roman"/>
          <w:bCs/>
          <w:lang w:eastAsia="lv-LV"/>
        </w:rPr>
        <w:t>N</w:t>
      </w:r>
      <w:r w:rsidRPr="006D7D18">
        <w:rPr>
          <w:rFonts w:ascii="Times New Roman" w:hAnsi="Times New Roman"/>
          <w:bCs/>
          <w:lang w:eastAsia="lv-LV"/>
        </w:rPr>
        <w:t>olikumā noteiktajām prasībām</w:t>
      </w:r>
      <w:r>
        <w:rPr>
          <w:rFonts w:ascii="Times New Roman" w:hAnsi="Times New Roman"/>
          <w:bCs/>
          <w:lang w:eastAsia="lv-LV"/>
        </w:rPr>
        <w:t xml:space="preserve"> </w:t>
      </w:r>
      <w:r w:rsidRPr="006D7D18">
        <w:rPr>
          <w:rFonts w:ascii="Times New Roman" w:hAnsi="Times New Roman"/>
          <w:bCs/>
          <w:lang w:eastAsia="lv-LV"/>
        </w:rPr>
        <w:t>un kritērijiem</w:t>
      </w:r>
      <w:r>
        <w:rPr>
          <w:rFonts w:ascii="Times New Roman" w:hAnsi="Times New Roman"/>
          <w:bCs/>
          <w:lang w:eastAsia="lv-LV"/>
        </w:rPr>
        <w:t xml:space="preserve"> </w:t>
      </w:r>
      <w:r w:rsidR="00DB2555" w:rsidRPr="005F535B">
        <w:rPr>
          <w:rFonts w:ascii="Times New Roman" w:hAnsi="Times New Roman"/>
        </w:rPr>
        <w:t xml:space="preserve">(skatīt </w:t>
      </w:r>
      <w:r w:rsidR="00DB2555">
        <w:rPr>
          <w:rFonts w:ascii="Times New Roman" w:hAnsi="Times New Roman"/>
        </w:rPr>
        <w:t>2</w:t>
      </w:r>
      <w:r w:rsidR="00DB2555" w:rsidRPr="005F535B">
        <w:rPr>
          <w:rFonts w:ascii="Times New Roman" w:hAnsi="Times New Roman"/>
        </w:rPr>
        <w:t>.tabulu)</w:t>
      </w:r>
      <w:r w:rsidR="00DB2555">
        <w:rPr>
          <w:rFonts w:ascii="Times New Roman" w:hAnsi="Times New Roman"/>
        </w:rPr>
        <w:t xml:space="preserve"> -</w:t>
      </w:r>
      <w:r w:rsidR="00DB2555">
        <w:rPr>
          <w:rFonts w:ascii="Times New Roman" w:hAnsi="Times New Roman"/>
          <w:bCs/>
          <w:lang w:eastAsia="lv-LV"/>
        </w:rPr>
        <w:t xml:space="preserve"> </w:t>
      </w:r>
      <w:r>
        <w:rPr>
          <w:rFonts w:ascii="Times New Roman" w:hAnsi="Times New Roman"/>
          <w:bCs/>
          <w:lang w:eastAsia="lv-LV"/>
        </w:rPr>
        <w:t>piedāvājum</w:t>
      </w:r>
      <w:r w:rsidR="00B87582">
        <w:rPr>
          <w:rFonts w:ascii="Times New Roman" w:hAnsi="Times New Roman"/>
          <w:bCs/>
          <w:lang w:eastAsia="lv-LV"/>
        </w:rPr>
        <w:t>a</w:t>
      </w:r>
      <w:r>
        <w:rPr>
          <w:rFonts w:ascii="Times New Roman" w:hAnsi="Times New Roman"/>
          <w:bCs/>
          <w:lang w:eastAsia="lv-LV"/>
        </w:rPr>
        <w:t xml:space="preserve"> noformējuma prasību atbilstība, tehnisk</w:t>
      </w:r>
      <w:r w:rsidR="00B87582">
        <w:rPr>
          <w:rFonts w:ascii="Times New Roman" w:hAnsi="Times New Roman"/>
          <w:bCs/>
          <w:lang w:eastAsia="lv-LV"/>
        </w:rPr>
        <w:t>ā</w:t>
      </w:r>
      <w:r>
        <w:rPr>
          <w:rFonts w:ascii="Times New Roman" w:hAnsi="Times New Roman"/>
          <w:bCs/>
          <w:lang w:eastAsia="lv-LV"/>
        </w:rPr>
        <w:t xml:space="preserve"> un finanšu piedāvājum</w:t>
      </w:r>
      <w:r w:rsidR="00B87582">
        <w:rPr>
          <w:rFonts w:ascii="Times New Roman" w:hAnsi="Times New Roman"/>
          <w:bCs/>
          <w:lang w:eastAsia="lv-LV"/>
        </w:rPr>
        <w:t>a</w:t>
      </w:r>
      <w:r>
        <w:rPr>
          <w:rFonts w:ascii="Times New Roman" w:hAnsi="Times New Roman"/>
          <w:bCs/>
          <w:lang w:eastAsia="lv-LV"/>
        </w:rPr>
        <w:t xml:space="preserve"> atbilstība, </w:t>
      </w:r>
      <w:r w:rsidR="00DB2555">
        <w:rPr>
          <w:rFonts w:ascii="Times New Roman" w:hAnsi="Times New Roman"/>
          <w:bCs/>
          <w:lang w:eastAsia="lv-LV"/>
        </w:rPr>
        <w:t xml:space="preserve">kā arī </w:t>
      </w:r>
      <w:r>
        <w:rPr>
          <w:rFonts w:ascii="Times New Roman" w:hAnsi="Times New Roman"/>
          <w:bCs/>
          <w:lang w:eastAsia="lv-LV"/>
        </w:rPr>
        <w:t xml:space="preserve">kvalifikācijas atbilstība </w:t>
      </w:r>
      <w:r w:rsidR="00DB2555">
        <w:rPr>
          <w:rFonts w:ascii="Times New Roman" w:hAnsi="Times New Roman"/>
          <w:bCs/>
          <w:lang w:eastAsia="lv-LV"/>
        </w:rPr>
        <w:t>(attiecas uz Pretendentu, kuram būtu piešķiramas Iepirkuma līguma slēgšanas tiesības)</w:t>
      </w:r>
      <w:r w:rsidRPr="005F535B">
        <w:rPr>
          <w:rFonts w:ascii="Times New Roman" w:hAnsi="Times New Roman"/>
          <w:bCs/>
          <w:lang w:eastAsia="lv-LV"/>
        </w:rPr>
        <w:t>:</w:t>
      </w:r>
    </w:p>
    <w:p w:rsidR="00B87582" w:rsidRPr="000177B7" w:rsidRDefault="00950DAA" w:rsidP="00B87582">
      <w:pPr>
        <w:ind w:left="360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="00B87582" w:rsidRPr="000177B7">
        <w:rPr>
          <w:rFonts w:ascii="Times New Roman" w:hAnsi="Times New Roman"/>
          <w:b/>
          <w:u w:val="single"/>
        </w:rPr>
        <w:t>.tabula</w:t>
      </w:r>
    </w:p>
    <w:tbl>
      <w:tblPr>
        <w:tblW w:w="95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3492"/>
        <w:gridCol w:w="2423"/>
        <w:gridCol w:w="2488"/>
      </w:tblGrid>
      <w:tr w:rsidR="00950DAA" w:rsidRPr="000177B7" w:rsidTr="005A76C7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AA" w:rsidRPr="000177B7" w:rsidRDefault="00950DAA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0177B7">
              <w:rPr>
                <w:rFonts w:ascii="Times New Roman" w:hAnsi="Times New Roman"/>
                <w:b/>
              </w:rPr>
              <w:t>Nr.p.k</w:t>
            </w:r>
            <w:proofErr w:type="spellEnd"/>
            <w:r w:rsidRPr="000177B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AA" w:rsidRPr="000177B7" w:rsidRDefault="00950DAA" w:rsidP="00AF4E56">
            <w:pPr>
              <w:pStyle w:val="BodyText"/>
              <w:jc w:val="center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 xml:space="preserve">Pretendenti </w:t>
            </w:r>
          </w:p>
          <w:p w:rsidR="00950DAA" w:rsidRPr="000177B7" w:rsidRDefault="00950DAA" w:rsidP="00AF4E56">
            <w:pPr>
              <w:pStyle w:val="BodyText"/>
              <w:jc w:val="center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(Piedāvājumu iesniegšanas secībā)</w:t>
            </w:r>
          </w:p>
          <w:p w:rsidR="00950DAA" w:rsidRPr="000177B7" w:rsidRDefault="00950DAA" w:rsidP="00AF4E56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AA" w:rsidRPr="00950DAA" w:rsidRDefault="00950DAA" w:rsidP="00950DAA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950DAA">
              <w:rPr>
                <w:rFonts w:ascii="Times New Roman" w:hAnsi="Times New Roman"/>
                <w:b/>
                <w:bCs/>
                <w:lang w:eastAsia="lv-LV"/>
              </w:rPr>
              <w:t>Piedāvājumu atbilstība Nolikumā noteiktajām prasībām un kritērijiem</w:t>
            </w:r>
          </w:p>
          <w:p w:rsidR="00950DAA" w:rsidRPr="000177B7" w:rsidRDefault="00950DAA" w:rsidP="00950DA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950DAA" w:rsidRPr="000177B7" w:rsidTr="00F715D0">
        <w:trPr>
          <w:trHeight w:val="287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AA" w:rsidRPr="000177B7" w:rsidRDefault="00950DAA" w:rsidP="00AF4E56">
            <w:pPr>
              <w:pStyle w:val="BodyText"/>
              <w:rPr>
                <w:b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AA" w:rsidRPr="00950DAA" w:rsidRDefault="002D5CCE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950DAA" w:rsidRPr="00950DAA">
              <w:rPr>
                <w:rFonts w:ascii="Times New Roman" w:hAnsi="Times New Roman"/>
                <w:b/>
                <w:sz w:val="22"/>
                <w:szCs w:val="22"/>
              </w:rPr>
              <w:t>tbilst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AA" w:rsidRPr="00950DAA" w:rsidRDefault="002D5CCE" w:rsidP="00950DA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950DAA" w:rsidRPr="00950DAA">
              <w:rPr>
                <w:rFonts w:ascii="Times New Roman" w:hAnsi="Times New Roman"/>
                <w:b/>
                <w:sz w:val="22"/>
                <w:szCs w:val="22"/>
              </w:rPr>
              <w:t>eatbilst</w:t>
            </w:r>
          </w:p>
          <w:p w:rsidR="00950DAA" w:rsidRPr="00950DAA" w:rsidRDefault="00950DAA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C6087C" w:rsidRPr="000177B7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C6087C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C6087C" w:rsidP="00C6087C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Ražošanas komercfirma “L.E.O.” SIA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2D5CCE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037A6A" w:rsidRPr="00950DAA">
              <w:rPr>
                <w:rFonts w:ascii="Times New Roman" w:hAnsi="Times New Roman"/>
                <w:b/>
                <w:sz w:val="22"/>
                <w:szCs w:val="22"/>
              </w:rPr>
              <w:t>tbilst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037A6A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</w:t>
            </w:r>
          </w:p>
        </w:tc>
      </w:tr>
      <w:tr w:rsidR="00C6087C" w:rsidRPr="000177B7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C6087C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C6087C" w:rsidP="00C6087C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Sabiedrība ar ierobežotu atbildību “</w:t>
            </w:r>
            <w:proofErr w:type="spellStart"/>
            <w:r w:rsidRPr="000177B7">
              <w:rPr>
                <w:b/>
                <w:szCs w:val="24"/>
              </w:rPr>
              <w:t>Reck</w:t>
            </w:r>
            <w:proofErr w:type="spellEnd"/>
            <w:r w:rsidRPr="000177B7">
              <w:rPr>
                <w:b/>
                <w:szCs w:val="24"/>
              </w:rPr>
              <w:t>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2D5CCE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037A6A" w:rsidRPr="00950DAA">
              <w:rPr>
                <w:rFonts w:ascii="Times New Roman" w:hAnsi="Times New Roman"/>
                <w:b/>
                <w:sz w:val="22"/>
                <w:szCs w:val="22"/>
              </w:rPr>
              <w:t>tbilst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037A6A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</w:t>
            </w:r>
          </w:p>
        </w:tc>
      </w:tr>
      <w:tr w:rsidR="00C6087C" w:rsidRPr="000177B7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C6087C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C6087C" w:rsidP="00C6087C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SIA “REDEX”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C" w:rsidRPr="000177B7" w:rsidRDefault="00037A6A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Default="002D5CCE" w:rsidP="00037A6A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037A6A" w:rsidRPr="00950DAA">
              <w:rPr>
                <w:rFonts w:ascii="Times New Roman" w:hAnsi="Times New Roman"/>
                <w:b/>
                <w:sz w:val="22"/>
                <w:szCs w:val="22"/>
              </w:rPr>
              <w:t>eatbilst</w:t>
            </w:r>
          </w:p>
          <w:p w:rsidR="002828D3" w:rsidRPr="001A487D" w:rsidRDefault="002828D3" w:rsidP="002828D3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(tehniskais piedāvājums)</w:t>
            </w:r>
          </w:p>
          <w:p w:rsidR="00C6087C" w:rsidRPr="000177B7" w:rsidRDefault="00C6087C" w:rsidP="00C6087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037A6A" w:rsidRPr="000177B7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Sabiedrība ar ierobežotu atbildību “KVĒLE”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2D5CCE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037A6A" w:rsidRPr="00950DAA">
              <w:rPr>
                <w:rFonts w:ascii="Times New Roman" w:hAnsi="Times New Roman"/>
                <w:b/>
                <w:sz w:val="22"/>
                <w:szCs w:val="22"/>
              </w:rPr>
              <w:t>tbilst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Default="00037A6A" w:rsidP="00037A6A">
            <w:pPr>
              <w:jc w:val="center"/>
            </w:pPr>
            <w:r w:rsidRPr="008A638A">
              <w:rPr>
                <w:rFonts w:ascii="Times New Roman" w:hAnsi="Times New Roman"/>
                <w:b/>
              </w:rPr>
              <w:t>______</w:t>
            </w:r>
          </w:p>
        </w:tc>
      </w:tr>
      <w:tr w:rsidR="00037A6A" w:rsidRPr="000177B7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SIA “</w:t>
            </w:r>
            <w:proofErr w:type="spellStart"/>
            <w:r w:rsidRPr="000177B7">
              <w:rPr>
                <w:b/>
                <w:szCs w:val="24"/>
              </w:rPr>
              <w:t>Ditra</w:t>
            </w:r>
            <w:proofErr w:type="spellEnd"/>
            <w:r w:rsidRPr="000177B7">
              <w:rPr>
                <w:b/>
                <w:szCs w:val="24"/>
              </w:rPr>
              <w:t xml:space="preserve"> </w:t>
            </w:r>
            <w:proofErr w:type="spellStart"/>
            <w:r w:rsidRPr="000177B7">
              <w:rPr>
                <w:b/>
                <w:szCs w:val="24"/>
              </w:rPr>
              <w:t>Networks</w:t>
            </w:r>
            <w:proofErr w:type="spellEnd"/>
            <w:r w:rsidRPr="000177B7">
              <w:rPr>
                <w:b/>
                <w:szCs w:val="24"/>
              </w:rPr>
              <w:t>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2D5CCE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037A6A" w:rsidRPr="00950DAA">
              <w:rPr>
                <w:rFonts w:ascii="Times New Roman" w:hAnsi="Times New Roman"/>
                <w:b/>
                <w:sz w:val="22"/>
                <w:szCs w:val="22"/>
              </w:rPr>
              <w:t>tbilst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Default="00037A6A" w:rsidP="00037A6A">
            <w:pPr>
              <w:jc w:val="center"/>
            </w:pPr>
            <w:r w:rsidRPr="008A638A">
              <w:rPr>
                <w:rFonts w:ascii="Times New Roman" w:hAnsi="Times New Roman"/>
                <w:b/>
              </w:rPr>
              <w:t>______</w:t>
            </w:r>
          </w:p>
        </w:tc>
      </w:tr>
      <w:tr w:rsidR="00037A6A" w:rsidRPr="000177B7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SIA RKF “SEDL”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Default="002D5CCE" w:rsidP="00037A6A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037A6A" w:rsidRPr="00950DAA">
              <w:rPr>
                <w:rFonts w:ascii="Times New Roman" w:hAnsi="Times New Roman"/>
                <w:b/>
                <w:sz w:val="22"/>
                <w:szCs w:val="22"/>
              </w:rPr>
              <w:t>tbilst</w:t>
            </w:r>
          </w:p>
          <w:p w:rsidR="002D5CCE" w:rsidRPr="000177B7" w:rsidRDefault="002D5CCE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Default="00037A6A" w:rsidP="00037A6A">
            <w:pPr>
              <w:jc w:val="center"/>
            </w:pPr>
            <w:r w:rsidRPr="008A638A">
              <w:rPr>
                <w:rFonts w:ascii="Times New Roman" w:hAnsi="Times New Roman"/>
                <w:b/>
              </w:rPr>
              <w:t>______</w:t>
            </w:r>
          </w:p>
        </w:tc>
      </w:tr>
      <w:tr w:rsidR="00037A6A" w:rsidRPr="000177B7" w:rsidTr="00AF4E56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0177B7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037A6A" w:rsidP="00037A6A">
            <w:pPr>
              <w:pStyle w:val="BodyText"/>
              <w:rPr>
                <w:b/>
                <w:szCs w:val="24"/>
              </w:rPr>
            </w:pPr>
            <w:r w:rsidRPr="000177B7">
              <w:rPr>
                <w:b/>
                <w:szCs w:val="24"/>
              </w:rPr>
              <w:t>Sabiedrība ar ierobežotu atbildību “LATVIJAS ENERGOCELTNIEKS”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Pr="000177B7" w:rsidRDefault="002D5CCE" w:rsidP="00037A6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037A6A" w:rsidRPr="00950DAA">
              <w:rPr>
                <w:rFonts w:ascii="Times New Roman" w:hAnsi="Times New Roman"/>
                <w:b/>
                <w:sz w:val="22"/>
                <w:szCs w:val="22"/>
              </w:rPr>
              <w:t>tbilst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A" w:rsidRDefault="00037A6A" w:rsidP="00037A6A">
            <w:pPr>
              <w:jc w:val="center"/>
            </w:pPr>
            <w:r w:rsidRPr="008A638A">
              <w:rPr>
                <w:rFonts w:ascii="Times New Roman" w:hAnsi="Times New Roman"/>
                <w:b/>
              </w:rPr>
              <w:t>______</w:t>
            </w:r>
          </w:p>
        </w:tc>
      </w:tr>
    </w:tbl>
    <w:p w:rsidR="00A34E82" w:rsidRPr="00B12423" w:rsidRDefault="00A34E82" w:rsidP="00833C79">
      <w:pPr>
        <w:jc w:val="both"/>
        <w:rPr>
          <w:rFonts w:ascii="Times New Roman" w:hAnsi="Times New Roman"/>
        </w:rPr>
      </w:pPr>
      <w:r w:rsidRPr="00B12423">
        <w:rPr>
          <w:rFonts w:ascii="Times New Roman" w:eastAsia="Times New Roman" w:hAnsi="Times New Roman"/>
          <w:b/>
          <w:bCs/>
          <w:lang w:eastAsia="lv-LV"/>
        </w:rPr>
        <w:t xml:space="preserve">9.Pretendentu piedāvājumi, kuros veikti aritmētisko kļūdu labojumi: </w:t>
      </w:r>
      <w:r w:rsidRPr="00B12423">
        <w:rPr>
          <w:rFonts w:ascii="Times New Roman" w:hAnsi="Times New Roman"/>
        </w:rPr>
        <w:t>nav</w:t>
      </w:r>
    </w:p>
    <w:p w:rsidR="00A34E82" w:rsidRPr="00B12423" w:rsidRDefault="00A34E82" w:rsidP="00833C79">
      <w:pPr>
        <w:jc w:val="both"/>
        <w:rPr>
          <w:rFonts w:ascii="Times New Roman" w:hAnsi="Times New Roman"/>
          <w:b/>
        </w:rPr>
      </w:pPr>
      <w:r w:rsidRPr="00B12423">
        <w:rPr>
          <w:rFonts w:ascii="Times New Roman" w:eastAsia="Times New Roman" w:hAnsi="Times New Roman"/>
          <w:b/>
          <w:bCs/>
          <w:lang w:eastAsia="lv-LV"/>
        </w:rPr>
        <w:lastRenderedPageBreak/>
        <w:t>10.</w:t>
      </w:r>
      <w:r w:rsidRPr="00B12423">
        <w:rPr>
          <w:rFonts w:ascii="Times New Roman" w:eastAsia="Times New Roman" w:hAnsi="Times New Roman"/>
          <w:bCs/>
          <w:lang w:eastAsia="lv-LV"/>
        </w:rPr>
        <w:t>Noraidītie Pretendenti un to noraidīšanas iemesli:</w:t>
      </w:r>
      <w:r w:rsidRPr="00B12423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Pr="00B12423">
        <w:rPr>
          <w:rFonts w:ascii="Times New Roman" w:hAnsi="Times New Roman"/>
        </w:rPr>
        <w:t xml:space="preserve">Pretendents </w:t>
      </w:r>
      <w:r w:rsidRPr="00B12423">
        <w:rPr>
          <w:rFonts w:ascii="Times New Roman" w:hAnsi="Times New Roman"/>
          <w:b/>
        </w:rPr>
        <w:t xml:space="preserve">SIA “REDEX” </w:t>
      </w:r>
      <w:r w:rsidRPr="00B12423">
        <w:rPr>
          <w:rFonts w:ascii="Times New Roman" w:hAnsi="Times New Roman"/>
        </w:rPr>
        <w:t>noraidīts no turpmākas dalības Iepirkumā</w:t>
      </w:r>
      <w:r w:rsidRPr="00B12423">
        <w:rPr>
          <w:rFonts w:ascii="Times New Roman" w:hAnsi="Times New Roman"/>
          <w:b/>
        </w:rPr>
        <w:t xml:space="preserve">, </w:t>
      </w:r>
      <w:r w:rsidRPr="00B12423">
        <w:rPr>
          <w:rFonts w:ascii="Times New Roman" w:hAnsi="Times New Roman"/>
        </w:rPr>
        <w:t>jo</w:t>
      </w:r>
      <w:r w:rsidRPr="00B12423">
        <w:rPr>
          <w:rFonts w:ascii="Times New Roman" w:hAnsi="Times New Roman"/>
          <w:b/>
        </w:rPr>
        <w:t xml:space="preserve"> </w:t>
      </w:r>
      <w:r w:rsidRPr="00B12423">
        <w:rPr>
          <w:rFonts w:ascii="Times New Roman" w:hAnsi="Times New Roman"/>
        </w:rPr>
        <w:t xml:space="preserve">Pretendenta </w:t>
      </w:r>
      <w:r w:rsidRPr="00B12423">
        <w:rPr>
          <w:rFonts w:ascii="Times New Roman" w:hAnsi="Times New Roman"/>
          <w:b/>
        </w:rPr>
        <w:t xml:space="preserve">SIA “REDEX” </w:t>
      </w:r>
      <w:r w:rsidRPr="00B12423">
        <w:rPr>
          <w:rFonts w:ascii="Times New Roman" w:hAnsi="Times New Roman"/>
        </w:rPr>
        <w:t>iesniegtais tehniskais piedāvājums neatbilst Nolikumā noteiktajām prasībām.</w:t>
      </w:r>
    </w:p>
    <w:p w:rsidR="006911EC" w:rsidRPr="00B12423" w:rsidRDefault="001D2EBB" w:rsidP="00833C79">
      <w:p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B12423">
        <w:rPr>
          <w:rFonts w:ascii="Times New Roman" w:eastAsia="Times New Roman" w:hAnsi="Times New Roman"/>
          <w:b/>
        </w:rPr>
        <w:t>11.</w:t>
      </w:r>
      <w:r w:rsidR="00F857AA" w:rsidRPr="00B12423">
        <w:rPr>
          <w:rFonts w:ascii="Times New Roman" w:eastAsia="Times New Roman" w:hAnsi="Times New Roman"/>
          <w:b/>
          <w:bCs/>
          <w:lang w:eastAsia="lv-LV"/>
        </w:rPr>
        <w:t xml:space="preserve">Par uzvarētāju noteiktā </w:t>
      </w:r>
      <w:r w:rsidRPr="00B12423">
        <w:rPr>
          <w:rFonts w:ascii="Times New Roman" w:eastAsia="Times New Roman" w:hAnsi="Times New Roman"/>
          <w:b/>
          <w:bCs/>
          <w:lang w:eastAsia="lv-LV"/>
        </w:rPr>
        <w:t>P</w:t>
      </w:r>
      <w:r w:rsidR="00F857AA" w:rsidRPr="00B12423">
        <w:rPr>
          <w:rFonts w:ascii="Times New Roman" w:eastAsia="Times New Roman" w:hAnsi="Times New Roman"/>
          <w:b/>
          <w:bCs/>
          <w:lang w:eastAsia="lv-LV"/>
        </w:rPr>
        <w:t xml:space="preserve">retendenta </w:t>
      </w:r>
      <w:r w:rsidRPr="00B12423">
        <w:rPr>
          <w:rFonts w:ascii="Times New Roman" w:hAnsi="Times New Roman"/>
          <w:b/>
        </w:rPr>
        <w:t>Sabiedrība ar ierobežotu atbildību “</w:t>
      </w:r>
      <w:proofErr w:type="spellStart"/>
      <w:r w:rsidRPr="00B12423">
        <w:rPr>
          <w:rFonts w:ascii="Times New Roman" w:hAnsi="Times New Roman"/>
          <w:b/>
        </w:rPr>
        <w:t>Reck</w:t>
      </w:r>
      <w:proofErr w:type="spellEnd"/>
      <w:r w:rsidRPr="00B12423">
        <w:rPr>
          <w:rFonts w:ascii="Times New Roman" w:hAnsi="Times New Roman"/>
          <w:b/>
        </w:rPr>
        <w:t xml:space="preserve">” </w:t>
      </w:r>
      <w:r w:rsidR="00F857AA" w:rsidRPr="00B12423">
        <w:rPr>
          <w:rFonts w:ascii="Times New Roman" w:eastAsia="Times New Roman" w:hAnsi="Times New Roman"/>
          <w:b/>
          <w:bCs/>
          <w:lang w:eastAsia="lv-LV"/>
        </w:rPr>
        <w:t>salīdzinošās priekšrocības:</w:t>
      </w:r>
    </w:p>
    <w:p w:rsidR="00B12423" w:rsidRDefault="001D2EBB" w:rsidP="00833C79">
      <w:pPr>
        <w:jc w:val="both"/>
        <w:outlineLvl w:val="0"/>
        <w:rPr>
          <w:rFonts w:ascii="Times New Roman" w:hAnsi="Times New Roman"/>
        </w:rPr>
      </w:pPr>
      <w:r w:rsidRPr="00B12423">
        <w:rPr>
          <w:rFonts w:ascii="Times New Roman" w:hAnsi="Times New Roman"/>
          <w:b/>
        </w:rPr>
        <w:t xml:space="preserve">11.1. </w:t>
      </w:r>
      <w:r w:rsidR="006B0121" w:rsidRPr="00B12423">
        <w:rPr>
          <w:rFonts w:ascii="Times New Roman" w:hAnsi="Times New Roman"/>
        </w:rPr>
        <w:t xml:space="preserve">Komisija, </w:t>
      </w:r>
      <w:r w:rsidRPr="00B12423">
        <w:rPr>
          <w:rFonts w:ascii="Times New Roman" w:hAnsi="Times New Roman"/>
        </w:rPr>
        <w:t>iz</w:t>
      </w:r>
      <w:r w:rsidR="006B0121" w:rsidRPr="00B12423">
        <w:rPr>
          <w:rFonts w:ascii="Times New Roman" w:hAnsi="Times New Roman"/>
        </w:rPr>
        <w:t xml:space="preserve">vērtējot </w:t>
      </w:r>
      <w:r w:rsidRPr="00B12423">
        <w:rPr>
          <w:rFonts w:ascii="Times New Roman" w:hAnsi="Times New Roman"/>
        </w:rPr>
        <w:t>P</w:t>
      </w:r>
      <w:r w:rsidR="006B0121" w:rsidRPr="00B12423">
        <w:rPr>
          <w:rFonts w:ascii="Times New Roman" w:hAnsi="Times New Roman"/>
        </w:rPr>
        <w:t xml:space="preserve">retendentu </w:t>
      </w:r>
      <w:r w:rsidR="009B74D7" w:rsidRPr="00B12423">
        <w:rPr>
          <w:rFonts w:ascii="Times New Roman" w:hAnsi="Times New Roman"/>
        </w:rPr>
        <w:t>p</w:t>
      </w:r>
      <w:r w:rsidR="006B0121" w:rsidRPr="00B12423">
        <w:rPr>
          <w:rFonts w:ascii="Times New Roman" w:hAnsi="Times New Roman"/>
        </w:rPr>
        <w:t xml:space="preserve">iedāvājumus </w:t>
      </w:r>
      <w:r w:rsidR="00EE3CF3">
        <w:rPr>
          <w:rFonts w:ascii="Times New Roman" w:hAnsi="Times New Roman"/>
        </w:rPr>
        <w:t>saskaņā ar</w:t>
      </w:r>
      <w:r w:rsidR="006B0121" w:rsidRPr="00B12423">
        <w:rPr>
          <w:rFonts w:ascii="Times New Roman" w:hAnsi="Times New Roman"/>
        </w:rPr>
        <w:t xml:space="preserve"> </w:t>
      </w:r>
      <w:r w:rsidRPr="00B12423">
        <w:rPr>
          <w:rFonts w:ascii="Times New Roman" w:hAnsi="Times New Roman"/>
        </w:rPr>
        <w:t>N</w:t>
      </w:r>
      <w:r w:rsidR="006B0121" w:rsidRPr="00B12423">
        <w:rPr>
          <w:rFonts w:ascii="Times New Roman" w:hAnsi="Times New Roman"/>
        </w:rPr>
        <w:t>olikum</w:t>
      </w:r>
      <w:r w:rsidR="00556741" w:rsidRPr="00B12423">
        <w:rPr>
          <w:rFonts w:ascii="Times New Roman" w:hAnsi="Times New Roman"/>
        </w:rPr>
        <w:t>ā</w:t>
      </w:r>
      <w:r w:rsidR="006B0121" w:rsidRPr="00B12423">
        <w:rPr>
          <w:rFonts w:ascii="Times New Roman" w:hAnsi="Times New Roman"/>
        </w:rPr>
        <w:t xml:space="preserve"> </w:t>
      </w:r>
      <w:r w:rsidR="00EE3CF3">
        <w:rPr>
          <w:rFonts w:ascii="Times New Roman" w:hAnsi="Times New Roman"/>
        </w:rPr>
        <w:t xml:space="preserve">noteiktajām prasībām un saimnieciski visizdevīgākā piedāvājuma izvērtēšanas </w:t>
      </w:r>
      <w:r w:rsidR="00556741" w:rsidRPr="00B12423">
        <w:rPr>
          <w:rFonts w:ascii="Times New Roman" w:hAnsi="Times New Roman"/>
        </w:rPr>
        <w:t xml:space="preserve"> kritēr</w:t>
      </w:r>
      <w:r w:rsidR="00B12423" w:rsidRPr="00B12423">
        <w:rPr>
          <w:rFonts w:ascii="Times New Roman" w:hAnsi="Times New Roman"/>
        </w:rPr>
        <w:t>i</w:t>
      </w:r>
      <w:r w:rsidR="00556741" w:rsidRPr="00B12423">
        <w:rPr>
          <w:rFonts w:ascii="Times New Roman" w:hAnsi="Times New Roman"/>
        </w:rPr>
        <w:t>jiem</w:t>
      </w:r>
      <w:r w:rsidR="006B0121" w:rsidRPr="00B12423">
        <w:rPr>
          <w:rFonts w:ascii="Times New Roman" w:hAnsi="Times New Roman"/>
        </w:rPr>
        <w:t xml:space="preserve">, secina, ka </w:t>
      </w:r>
      <w:r w:rsidR="00556741" w:rsidRPr="00B12423">
        <w:rPr>
          <w:rFonts w:ascii="Times New Roman" w:hAnsi="Times New Roman"/>
        </w:rPr>
        <w:t>P</w:t>
      </w:r>
      <w:r w:rsidR="006B0121" w:rsidRPr="00B12423">
        <w:rPr>
          <w:rFonts w:ascii="Times New Roman" w:hAnsi="Times New Roman"/>
        </w:rPr>
        <w:t>retendent</w:t>
      </w:r>
      <w:r w:rsidR="00556741" w:rsidRPr="00B12423">
        <w:rPr>
          <w:rFonts w:ascii="Times New Roman" w:hAnsi="Times New Roman"/>
        </w:rPr>
        <w:t>a</w:t>
      </w:r>
      <w:r w:rsidR="006B0121" w:rsidRPr="00B12423">
        <w:rPr>
          <w:rFonts w:ascii="Times New Roman" w:hAnsi="Times New Roman"/>
        </w:rPr>
        <w:t xml:space="preserve"> </w:t>
      </w:r>
      <w:r w:rsidR="00556741" w:rsidRPr="00B12423">
        <w:rPr>
          <w:rFonts w:ascii="Times New Roman" w:hAnsi="Times New Roman"/>
          <w:b/>
        </w:rPr>
        <w:t>Sabiedrība ar ierobežotu atbildību “</w:t>
      </w:r>
      <w:proofErr w:type="spellStart"/>
      <w:r w:rsidR="00556741" w:rsidRPr="00B12423">
        <w:rPr>
          <w:rFonts w:ascii="Times New Roman" w:hAnsi="Times New Roman"/>
          <w:b/>
        </w:rPr>
        <w:t>Reck</w:t>
      </w:r>
      <w:proofErr w:type="spellEnd"/>
      <w:r w:rsidR="00556741" w:rsidRPr="00B12423">
        <w:rPr>
          <w:rFonts w:ascii="Times New Roman" w:hAnsi="Times New Roman"/>
          <w:b/>
        </w:rPr>
        <w:t xml:space="preserve">” </w:t>
      </w:r>
      <w:r w:rsidR="00556741" w:rsidRPr="00DF6353">
        <w:rPr>
          <w:rFonts w:ascii="Times New Roman" w:hAnsi="Times New Roman"/>
        </w:rPr>
        <w:t xml:space="preserve">piedāvājums </w:t>
      </w:r>
      <w:r w:rsidR="00B12423" w:rsidRPr="00DF6353">
        <w:rPr>
          <w:rFonts w:ascii="Times New Roman" w:hAnsi="Times New Roman"/>
        </w:rPr>
        <w:t xml:space="preserve">atbilst visām Nolikumā noteiktajām prasībām un </w:t>
      </w:r>
      <w:r w:rsidR="00556741" w:rsidRPr="00DF6353">
        <w:rPr>
          <w:rFonts w:ascii="Times New Roman" w:hAnsi="Times New Roman"/>
        </w:rPr>
        <w:t>ir</w:t>
      </w:r>
      <w:r w:rsidR="00556741" w:rsidRPr="00B12423">
        <w:rPr>
          <w:rFonts w:ascii="Times New Roman" w:hAnsi="Times New Roman"/>
          <w:b/>
        </w:rPr>
        <w:t xml:space="preserve"> </w:t>
      </w:r>
      <w:r w:rsidR="00B12423" w:rsidRPr="00B12423">
        <w:rPr>
          <w:rFonts w:ascii="Times New Roman" w:hAnsi="Times New Roman"/>
        </w:rPr>
        <w:t xml:space="preserve">saimnieciski visizdevīgākais piedāvājums – ieguvis vislielāko punktu skaitu </w:t>
      </w:r>
      <w:r w:rsidR="00DF6353">
        <w:rPr>
          <w:rFonts w:ascii="Times New Roman" w:hAnsi="Times New Roman"/>
        </w:rPr>
        <w:t xml:space="preserve">- </w:t>
      </w:r>
      <w:r w:rsidR="00F4796D">
        <w:rPr>
          <w:rFonts w:ascii="Times New Roman" w:hAnsi="Times New Roman"/>
          <w:b/>
        </w:rPr>
        <w:t>100</w:t>
      </w:r>
      <w:r w:rsidR="00B12423" w:rsidRPr="00EE3CF3">
        <w:rPr>
          <w:rFonts w:ascii="Times New Roman" w:hAnsi="Times New Roman"/>
          <w:b/>
        </w:rPr>
        <w:t xml:space="preserve"> </w:t>
      </w:r>
      <w:r w:rsidR="00B12423" w:rsidRPr="00EE3CF3">
        <w:rPr>
          <w:rFonts w:ascii="Times New Roman" w:hAnsi="Times New Roman"/>
          <w:b/>
          <w:bCs/>
        </w:rPr>
        <w:t>punktus</w:t>
      </w:r>
      <w:r w:rsidR="00B12423" w:rsidRPr="00B12423">
        <w:rPr>
          <w:rFonts w:ascii="Times New Roman" w:hAnsi="Times New Roman"/>
        </w:rPr>
        <w:t xml:space="preserve"> </w:t>
      </w:r>
      <w:r w:rsidR="00DF6353">
        <w:rPr>
          <w:rFonts w:ascii="Times New Roman" w:hAnsi="Times New Roman"/>
        </w:rPr>
        <w:t>(skatīt 3.tabulu)</w:t>
      </w:r>
      <w:r w:rsidR="00B12423" w:rsidRPr="00B12423">
        <w:rPr>
          <w:rFonts w:ascii="Times New Roman" w:hAnsi="Times New Roman"/>
        </w:rPr>
        <w:t>:</w:t>
      </w:r>
    </w:p>
    <w:p w:rsidR="00F4796D" w:rsidRPr="00F4796D" w:rsidRDefault="00F4796D" w:rsidP="00F4796D">
      <w:pPr>
        <w:jc w:val="right"/>
        <w:outlineLvl w:val="0"/>
        <w:rPr>
          <w:rFonts w:ascii="Times New Roman" w:hAnsi="Times New Roman"/>
          <w:b/>
          <w:u w:val="single"/>
        </w:rPr>
      </w:pPr>
      <w:r w:rsidRPr="00F4796D">
        <w:rPr>
          <w:rFonts w:ascii="Times New Roman" w:hAnsi="Times New Roman"/>
          <w:b/>
          <w:u w:val="single"/>
        </w:rPr>
        <w:t>3.tabula</w:t>
      </w:r>
    </w:p>
    <w:tbl>
      <w:tblPr>
        <w:tblW w:w="89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4882"/>
        <w:gridCol w:w="3142"/>
      </w:tblGrid>
      <w:tr w:rsidR="00DF6353" w:rsidRPr="00AB10D4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DF6353">
              <w:rPr>
                <w:rFonts w:ascii="Times New Roman" w:hAnsi="Times New Roman"/>
                <w:b/>
              </w:rPr>
              <w:t>Nr.p.k</w:t>
            </w:r>
            <w:proofErr w:type="spellEnd"/>
            <w:r w:rsidRPr="00DF635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jc w:val="center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 xml:space="preserve">Pretendenti </w:t>
            </w:r>
          </w:p>
          <w:p w:rsidR="00DF6353" w:rsidRPr="00DF6353" w:rsidRDefault="00DF6353" w:rsidP="00AF4E56">
            <w:pPr>
              <w:pStyle w:val="BodyText"/>
              <w:jc w:val="center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(</w:t>
            </w:r>
            <w:r w:rsidR="00DD5D22">
              <w:rPr>
                <w:b/>
                <w:szCs w:val="24"/>
              </w:rPr>
              <w:t>p</w:t>
            </w:r>
            <w:r w:rsidRPr="00DF6353">
              <w:rPr>
                <w:b/>
                <w:szCs w:val="24"/>
              </w:rPr>
              <w:t>iedāvājumu iesniegšanas secībā)</w:t>
            </w:r>
          </w:p>
          <w:p w:rsidR="00DF6353" w:rsidRPr="00DF6353" w:rsidRDefault="00DF6353" w:rsidP="00AF4E56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Pretendentu iegūtais punktu skaits</w:t>
            </w:r>
          </w:p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</w:rPr>
            </w:pPr>
            <w:r w:rsidRPr="00DF6353">
              <w:rPr>
                <w:rFonts w:ascii="Times New Roman" w:hAnsi="Times New Roman"/>
              </w:rPr>
              <w:t>(</w:t>
            </w:r>
            <w:r w:rsidR="00DD5D22">
              <w:rPr>
                <w:rFonts w:ascii="Times New Roman" w:hAnsi="Times New Roman"/>
              </w:rPr>
              <w:t>atbilstoši Nolikuma 5.6.7.apakšpunktā noteiktajiem izvērtēšanas kritērijiem</w:t>
            </w:r>
            <w:r w:rsidRPr="00DF6353">
              <w:rPr>
                <w:rFonts w:ascii="Times New Roman" w:hAnsi="Times New Roman"/>
              </w:rPr>
              <w:t>)</w:t>
            </w:r>
          </w:p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DF6353" w:rsidRPr="00154BDC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Ražošanas komercfirma “L.E.O.” SIA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546FF2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7</w:t>
            </w:r>
            <w:r w:rsidR="00546FF2">
              <w:rPr>
                <w:rFonts w:ascii="Times New Roman" w:hAnsi="Times New Roman"/>
                <w:b/>
              </w:rPr>
              <w:t>5</w:t>
            </w:r>
          </w:p>
        </w:tc>
      </w:tr>
      <w:tr w:rsidR="00DF6353" w:rsidRPr="00154BDC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Sabiedrība ar ierobežotu atbildību “</w:t>
            </w:r>
            <w:proofErr w:type="spellStart"/>
            <w:r w:rsidRPr="00DF6353">
              <w:rPr>
                <w:b/>
                <w:szCs w:val="24"/>
              </w:rPr>
              <w:t>Reck</w:t>
            </w:r>
            <w:proofErr w:type="spellEnd"/>
            <w:r w:rsidRPr="00DF6353">
              <w:rPr>
                <w:b/>
                <w:szCs w:val="24"/>
              </w:rPr>
              <w:t>”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652D90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DF6353" w:rsidRPr="00154BDC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SIA “REDEX”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F9393A" w:rsidP="00AF4E56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DF6353" w:rsidRPr="00DF6353">
              <w:rPr>
                <w:rFonts w:ascii="Times New Roman" w:hAnsi="Times New Roman"/>
              </w:rPr>
              <w:t>esniegtais piedāvājums noraidīts (skatīt 2.tabulu)</w:t>
            </w:r>
          </w:p>
        </w:tc>
      </w:tr>
      <w:tr w:rsidR="00DF6353" w:rsidRPr="00154BDC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Sabiedrība ar ierobežotu atbildību “KVĒLE”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652D9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8</w:t>
            </w:r>
            <w:r w:rsidR="00652D90">
              <w:rPr>
                <w:rFonts w:ascii="Times New Roman" w:hAnsi="Times New Roman"/>
                <w:b/>
              </w:rPr>
              <w:t>4</w:t>
            </w:r>
            <w:r w:rsidRPr="00DF6353">
              <w:rPr>
                <w:rFonts w:ascii="Times New Roman" w:hAnsi="Times New Roman"/>
                <w:b/>
              </w:rPr>
              <w:t>,</w:t>
            </w:r>
            <w:r w:rsidR="00652D90">
              <w:rPr>
                <w:rFonts w:ascii="Times New Roman" w:hAnsi="Times New Roman"/>
                <w:b/>
              </w:rPr>
              <w:t>24</w:t>
            </w:r>
          </w:p>
        </w:tc>
      </w:tr>
      <w:tr w:rsidR="00DF6353" w:rsidRPr="00154BDC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SIA “</w:t>
            </w:r>
            <w:proofErr w:type="spellStart"/>
            <w:r w:rsidRPr="00DF6353">
              <w:rPr>
                <w:b/>
                <w:szCs w:val="24"/>
              </w:rPr>
              <w:t>Ditra</w:t>
            </w:r>
            <w:proofErr w:type="spellEnd"/>
            <w:r w:rsidRPr="00DF6353">
              <w:rPr>
                <w:b/>
                <w:szCs w:val="24"/>
              </w:rPr>
              <w:t xml:space="preserve"> </w:t>
            </w:r>
            <w:proofErr w:type="spellStart"/>
            <w:r w:rsidRPr="00DF6353">
              <w:rPr>
                <w:b/>
                <w:szCs w:val="24"/>
              </w:rPr>
              <w:t>Networks</w:t>
            </w:r>
            <w:proofErr w:type="spellEnd"/>
            <w:r w:rsidRPr="00DF6353">
              <w:rPr>
                <w:b/>
                <w:szCs w:val="24"/>
              </w:rPr>
              <w:t>”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652D9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9</w:t>
            </w:r>
            <w:r w:rsidR="00652D90">
              <w:rPr>
                <w:rFonts w:ascii="Times New Roman" w:hAnsi="Times New Roman"/>
                <w:b/>
              </w:rPr>
              <w:t>5</w:t>
            </w:r>
            <w:r w:rsidRPr="00DF6353">
              <w:rPr>
                <w:rFonts w:ascii="Times New Roman" w:hAnsi="Times New Roman"/>
                <w:b/>
              </w:rPr>
              <w:t>,</w:t>
            </w:r>
            <w:r w:rsidR="00652D90">
              <w:rPr>
                <w:rFonts w:ascii="Times New Roman" w:hAnsi="Times New Roman"/>
                <w:b/>
              </w:rPr>
              <w:t>07</w:t>
            </w:r>
          </w:p>
        </w:tc>
      </w:tr>
      <w:tr w:rsidR="00DF6353" w:rsidRPr="00154BDC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SIA RKF “SEDL”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4A711A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6</w:t>
            </w:r>
            <w:r w:rsidR="004A711A">
              <w:rPr>
                <w:rFonts w:ascii="Times New Roman" w:hAnsi="Times New Roman"/>
                <w:b/>
              </w:rPr>
              <w:t>7</w:t>
            </w:r>
            <w:r w:rsidRPr="00DF6353">
              <w:rPr>
                <w:rFonts w:ascii="Times New Roman" w:hAnsi="Times New Roman"/>
                <w:b/>
              </w:rPr>
              <w:t>,</w:t>
            </w:r>
            <w:r w:rsidR="004A711A">
              <w:rPr>
                <w:rFonts w:ascii="Times New Roman" w:hAnsi="Times New Roman"/>
                <w:b/>
              </w:rPr>
              <w:t>87</w:t>
            </w:r>
          </w:p>
        </w:tc>
      </w:tr>
      <w:tr w:rsidR="00DF6353" w:rsidRPr="00154BDC" w:rsidTr="00DF6353">
        <w:trPr>
          <w:trHeight w:val="2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AF4E56">
            <w:pPr>
              <w:pStyle w:val="BodyText"/>
              <w:rPr>
                <w:b/>
                <w:szCs w:val="24"/>
              </w:rPr>
            </w:pPr>
            <w:r w:rsidRPr="00DF6353">
              <w:rPr>
                <w:b/>
                <w:szCs w:val="24"/>
              </w:rPr>
              <w:t>Sabiedrība ar ierobežotu atbildību “LATVIJAS ENERGOCELTNIEKS”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3" w:rsidRPr="00DF6353" w:rsidRDefault="00DF6353" w:rsidP="00533698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DF6353">
              <w:rPr>
                <w:rFonts w:ascii="Times New Roman" w:hAnsi="Times New Roman"/>
                <w:b/>
              </w:rPr>
              <w:t>8</w:t>
            </w:r>
            <w:r w:rsidR="00533698">
              <w:rPr>
                <w:rFonts w:ascii="Times New Roman" w:hAnsi="Times New Roman"/>
                <w:b/>
              </w:rPr>
              <w:t>5</w:t>
            </w:r>
            <w:r w:rsidRPr="00DF6353">
              <w:rPr>
                <w:rFonts w:ascii="Times New Roman" w:hAnsi="Times New Roman"/>
                <w:b/>
              </w:rPr>
              <w:t>,6</w:t>
            </w:r>
            <w:r w:rsidR="00533698">
              <w:rPr>
                <w:rFonts w:ascii="Times New Roman" w:hAnsi="Times New Roman"/>
                <w:b/>
              </w:rPr>
              <w:t>0</w:t>
            </w:r>
            <w:r w:rsidRPr="00DF6353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833C79" w:rsidRDefault="00833C79" w:rsidP="00833C79">
      <w:pPr>
        <w:jc w:val="both"/>
        <w:rPr>
          <w:rFonts w:ascii="Times New Roman" w:eastAsia="Times New Roman" w:hAnsi="Times New Roman"/>
          <w:b/>
          <w:bCs/>
          <w:lang w:eastAsia="lv-LV"/>
        </w:rPr>
      </w:pPr>
    </w:p>
    <w:p w:rsidR="00600FAA" w:rsidRDefault="00600FAA" w:rsidP="00833C79">
      <w:pPr>
        <w:jc w:val="both"/>
        <w:rPr>
          <w:rFonts w:ascii="Times New Roman" w:eastAsia="Times New Roman" w:hAnsi="Times New Roman"/>
          <w:b/>
          <w:bCs/>
          <w:u w:val="single"/>
          <w:lang w:eastAsia="lv-LV"/>
        </w:rPr>
      </w:pPr>
      <w:r w:rsidRPr="00614805">
        <w:rPr>
          <w:rFonts w:ascii="Times New Roman" w:eastAsia="Times New Roman" w:hAnsi="Times New Roman"/>
          <w:b/>
          <w:bCs/>
          <w:lang w:eastAsia="lv-LV"/>
        </w:rPr>
        <w:t>1</w:t>
      </w:r>
      <w:r>
        <w:rPr>
          <w:rFonts w:ascii="Times New Roman" w:eastAsia="Times New Roman" w:hAnsi="Times New Roman"/>
          <w:b/>
          <w:bCs/>
          <w:lang w:eastAsia="lv-LV"/>
        </w:rPr>
        <w:t>2</w:t>
      </w:r>
      <w:r w:rsidRPr="00614805">
        <w:rPr>
          <w:rFonts w:ascii="Times New Roman" w:eastAsia="Times New Roman" w:hAnsi="Times New Roman"/>
          <w:b/>
          <w:bCs/>
          <w:lang w:eastAsia="lv-LV"/>
        </w:rPr>
        <w:t xml:space="preserve">. </w:t>
      </w:r>
      <w:r>
        <w:rPr>
          <w:rFonts w:ascii="Times New Roman" w:eastAsia="Times New Roman" w:hAnsi="Times New Roman"/>
          <w:bCs/>
          <w:lang w:eastAsia="lv-LV"/>
        </w:rPr>
        <w:t>PIL</w:t>
      </w:r>
      <w:r w:rsidRPr="00614805">
        <w:rPr>
          <w:rFonts w:ascii="Times New Roman" w:eastAsia="Times New Roman" w:hAnsi="Times New Roman"/>
          <w:bCs/>
          <w:lang w:eastAsia="lv-LV"/>
        </w:rPr>
        <w:t xml:space="preserve"> 9.panta astotajā daļā minētie izslēgšanas nosacījumi uz Pretendent</w:t>
      </w:r>
      <w:r>
        <w:rPr>
          <w:rFonts w:ascii="Times New Roman" w:eastAsia="Times New Roman" w:hAnsi="Times New Roman"/>
          <w:bCs/>
          <w:lang w:eastAsia="lv-LV"/>
        </w:rPr>
        <w:t>u</w:t>
      </w:r>
      <w:r w:rsidRPr="00362804">
        <w:rPr>
          <w:rFonts w:ascii="Times New Roman" w:hAnsi="Times New Roman"/>
          <w:b/>
        </w:rPr>
        <w:t xml:space="preserve"> </w:t>
      </w:r>
      <w:r w:rsidRPr="00B12423">
        <w:rPr>
          <w:rFonts w:ascii="Times New Roman" w:hAnsi="Times New Roman"/>
          <w:b/>
        </w:rPr>
        <w:t>Sabiedrība ar ierobežotu atbildību “</w:t>
      </w:r>
      <w:proofErr w:type="spellStart"/>
      <w:r w:rsidRPr="00B12423">
        <w:rPr>
          <w:rFonts w:ascii="Times New Roman" w:hAnsi="Times New Roman"/>
          <w:b/>
        </w:rPr>
        <w:t>Reck</w:t>
      </w:r>
      <w:proofErr w:type="spellEnd"/>
      <w:r w:rsidRPr="00B12423">
        <w:rPr>
          <w:rFonts w:ascii="Times New Roman" w:hAnsi="Times New Roman"/>
          <w:b/>
        </w:rPr>
        <w:t>”</w:t>
      </w:r>
      <w:r w:rsidRPr="00614805">
        <w:rPr>
          <w:rFonts w:ascii="Times New Roman" w:eastAsia="Times New Roman" w:hAnsi="Times New Roman"/>
          <w:bCs/>
          <w:lang w:eastAsia="lv-LV"/>
        </w:rPr>
        <w:t>, kur</w:t>
      </w:r>
      <w:r>
        <w:rPr>
          <w:rFonts w:ascii="Times New Roman" w:eastAsia="Times New Roman" w:hAnsi="Times New Roman"/>
          <w:bCs/>
          <w:lang w:eastAsia="lv-LV"/>
        </w:rPr>
        <w:t>a</w:t>
      </w:r>
      <w:r w:rsidRPr="00614805">
        <w:rPr>
          <w:rFonts w:ascii="Times New Roman" w:eastAsia="Times New Roman" w:hAnsi="Times New Roman"/>
          <w:bCs/>
          <w:lang w:eastAsia="lv-LV"/>
        </w:rPr>
        <w:t>m būtu piešķiramas Iepirkuma līguma slēgšanas tiesības</w:t>
      </w:r>
      <w:r>
        <w:rPr>
          <w:rFonts w:ascii="Times New Roman" w:eastAsia="Times New Roman" w:hAnsi="Times New Roman"/>
          <w:bCs/>
          <w:lang w:eastAsia="lv-LV"/>
        </w:rPr>
        <w:t>,</w:t>
      </w:r>
      <w:r w:rsidRPr="00614805">
        <w:rPr>
          <w:rFonts w:ascii="Times New Roman" w:hAnsi="Times New Roman"/>
          <w:b/>
          <w:sz w:val="22"/>
          <w:szCs w:val="22"/>
        </w:rPr>
        <w:t xml:space="preserve"> </w:t>
      </w:r>
      <w:r w:rsidRPr="00614805">
        <w:rPr>
          <w:rFonts w:ascii="Times New Roman" w:eastAsia="Times New Roman" w:hAnsi="Times New Roman"/>
          <w:b/>
          <w:bCs/>
          <w:u w:val="single"/>
          <w:lang w:eastAsia="lv-LV"/>
        </w:rPr>
        <w:t xml:space="preserve"> nav attiecināmi.</w:t>
      </w:r>
    </w:p>
    <w:p w:rsidR="00AE7FD3" w:rsidRPr="009B6E90" w:rsidRDefault="00AE7FD3" w:rsidP="00833C79">
      <w:pPr>
        <w:jc w:val="both"/>
        <w:rPr>
          <w:rFonts w:ascii="Times New Roman" w:eastAsia="Times New Roman" w:hAnsi="Times New Roman"/>
          <w:bCs/>
          <w:lang w:eastAsia="lv-LV"/>
        </w:rPr>
      </w:pPr>
      <w:r w:rsidRPr="009B6E90">
        <w:rPr>
          <w:rFonts w:ascii="Times New Roman" w:eastAsia="Times New Roman" w:hAnsi="Times New Roman"/>
          <w:b/>
          <w:bCs/>
          <w:lang w:eastAsia="lv-LV"/>
        </w:rPr>
        <w:t>1</w:t>
      </w:r>
      <w:r>
        <w:rPr>
          <w:rFonts w:ascii="Times New Roman" w:eastAsia="Times New Roman" w:hAnsi="Times New Roman"/>
          <w:b/>
          <w:bCs/>
          <w:lang w:eastAsia="lv-LV"/>
        </w:rPr>
        <w:t>3</w:t>
      </w:r>
      <w:r w:rsidRPr="009B6E90">
        <w:rPr>
          <w:rFonts w:ascii="Times New Roman" w:eastAsia="Times New Roman" w:hAnsi="Times New Roman"/>
          <w:b/>
          <w:bCs/>
          <w:lang w:eastAsia="lv-LV"/>
        </w:rPr>
        <w:t>.</w:t>
      </w:r>
      <w:r w:rsidRPr="009B6E90">
        <w:rPr>
          <w:rFonts w:ascii="Times New Roman" w:eastAsia="Times New Roman" w:hAnsi="Times New Roman"/>
          <w:bCs/>
          <w:lang w:eastAsia="lv-LV"/>
        </w:rPr>
        <w:t>Komisija, ņemot vērā veikto Pretendent</w:t>
      </w:r>
      <w:r>
        <w:rPr>
          <w:rFonts w:ascii="Times New Roman" w:eastAsia="Times New Roman" w:hAnsi="Times New Roman"/>
          <w:bCs/>
          <w:lang w:eastAsia="lv-LV"/>
        </w:rPr>
        <w:t>u</w:t>
      </w:r>
      <w:r w:rsidRPr="009B6E90">
        <w:rPr>
          <w:rFonts w:ascii="Times New Roman" w:eastAsia="Times New Roman" w:hAnsi="Times New Roman"/>
          <w:bCs/>
          <w:lang w:eastAsia="lv-LV"/>
        </w:rPr>
        <w:t xml:space="preserve"> </w:t>
      </w:r>
      <w:r w:rsidRPr="00AE7FD3">
        <w:rPr>
          <w:rFonts w:ascii="Times New Roman" w:hAnsi="Times New Roman"/>
          <w:b/>
        </w:rPr>
        <w:t>Ražošanas komercfirma “L.E.O.” SIA, Sabiedrība ar ierobežotu atbildību “</w:t>
      </w:r>
      <w:proofErr w:type="spellStart"/>
      <w:r w:rsidRPr="00AE7FD3">
        <w:rPr>
          <w:rFonts w:ascii="Times New Roman" w:hAnsi="Times New Roman"/>
          <w:b/>
        </w:rPr>
        <w:t>Reck</w:t>
      </w:r>
      <w:proofErr w:type="spellEnd"/>
      <w:r w:rsidRPr="00AE7FD3">
        <w:rPr>
          <w:rFonts w:ascii="Times New Roman" w:hAnsi="Times New Roman"/>
          <w:b/>
        </w:rPr>
        <w:t>”, SIA “REDEX”, Sabiedrība ar ierobežotu atbildību “KVĒLE”, SIA “</w:t>
      </w:r>
      <w:proofErr w:type="spellStart"/>
      <w:r w:rsidRPr="00AE7FD3">
        <w:rPr>
          <w:rFonts w:ascii="Times New Roman" w:hAnsi="Times New Roman"/>
          <w:b/>
        </w:rPr>
        <w:t>Ditra</w:t>
      </w:r>
      <w:proofErr w:type="spellEnd"/>
      <w:r w:rsidRPr="00AE7FD3">
        <w:rPr>
          <w:rFonts w:ascii="Times New Roman" w:hAnsi="Times New Roman"/>
          <w:b/>
        </w:rPr>
        <w:t xml:space="preserve"> </w:t>
      </w:r>
      <w:proofErr w:type="spellStart"/>
      <w:r w:rsidRPr="00AE7FD3">
        <w:rPr>
          <w:rFonts w:ascii="Times New Roman" w:hAnsi="Times New Roman"/>
          <w:b/>
        </w:rPr>
        <w:t>Networks</w:t>
      </w:r>
      <w:proofErr w:type="spellEnd"/>
      <w:r w:rsidRPr="00AE7FD3">
        <w:rPr>
          <w:rFonts w:ascii="Times New Roman" w:hAnsi="Times New Roman"/>
          <w:b/>
        </w:rPr>
        <w:t>”, SIA RKF “SEDL”</w:t>
      </w:r>
      <w:r>
        <w:rPr>
          <w:rFonts w:ascii="Times New Roman" w:hAnsi="Times New Roman"/>
          <w:b/>
        </w:rPr>
        <w:t xml:space="preserve"> </w:t>
      </w:r>
      <w:r w:rsidRPr="00AE7FD3">
        <w:rPr>
          <w:rFonts w:ascii="Times New Roman" w:hAnsi="Times New Roman"/>
        </w:rPr>
        <w:t>un</w:t>
      </w:r>
      <w:r w:rsidRPr="00AE7FD3">
        <w:rPr>
          <w:rFonts w:ascii="Times New Roman" w:hAnsi="Times New Roman"/>
          <w:b/>
        </w:rPr>
        <w:t xml:space="preserve"> Sabiedrība ar ierobežotu atbildību “LATVIJAS ENERGOCELTNIEKS”  </w:t>
      </w:r>
      <w:r w:rsidRPr="0036586D">
        <w:rPr>
          <w:rFonts w:ascii="Times New Roman" w:hAnsi="Times New Roman"/>
        </w:rPr>
        <w:t>iesniegto</w:t>
      </w:r>
      <w:r>
        <w:rPr>
          <w:rFonts w:ascii="Times New Roman" w:hAnsi="Times New Roman"/>
          <w:b/>
        </w:rPr>
        <w:t xml:space="preserve"> </w:t>
      </w:r>
      <w:r w:rsidRPr="009B6E90">
        <w:rPr>
          <w:rFonts w:ascii="Times New Roman" w:eastAsia="Times New Roman" w:hAnsi="Times New Roman"/>
          <w:bCs/>
          <w:lang w:eastAsia="lv-LV"/>
        </w:rPr>
        <w:t>piedāvājum</w:t>
      </w:r>
      <w:r>
        <w:rPr>
          <w:rFonts w:ascii="Times New Roman" w:eastAsia="Times New Roman" w:hAnsi="Times New Roman"/>
          <w:bCs/>
          <w:lang w:eastAsia="lv-LV"/>
        </w:rPr>
        <w:t>u</w:t>
      </w:r>
      <w:r w:rsidRPr="009B6E90">
        <w:rPr>
          <w:rFonts w:ascii="Times New Roman" w:eastAsia="Times New Roman" w:hAnsi="Times New Roman"/>
          <w:bCs/>
          <w:lang w:eastAsia="lv-LV"/>
        </w:rPr>
        <w:t xml:space="preserve"> </w:t>
      </w:r>
      <w:proofErr w:type="spellStart"/>
      <w:r w:rsidRPr="009B6E90">
        <w:rPr>
          <w:rFonts w:ascii="Times New Roman" w:eastAsia="Times New Roman" w:hAnsi="Times New Roman"/>
          <w:bCs/>
          <w:lang w:eastAsia="lv-LV"/>
        </w:rPr>
        <w:t>izvērtējumu</w:t>
      </w:r>
      <w:proofErr w:type="spellEnd"/>
      <w:r>
        <w:rPr>
          <w:rFonts w:ascii="Times New Roman" w:eastAsia="Times New Roman" w:hAnsi="Times New Roman"/>
          <w:bCs/>
          <w:lang w:eastAsia="lv-LV"/>
        </w:rPr>
        <w:t>, kā arī</w:t>
      </w:r>
      <w:r w:rsidRPr="009B6E90">
        <w:rPr>
          <w:rFonts w:ascii="Times New Roman" w:eastAsia="Times New Roman" w:hAnsi="Times New Roman"/>
          <w:bCs/>
          <w:lang w:eastAsia="lv-LV"/>
        </w:rPr>
        <w:t xml:space="preserve"> pamatojoties uz </w:t>
      </w:r>
      <w:r>
        <w:rPr>
          <w:rFonts w:ascii="Times New Roman" w:eastAsia="Times New Roman" w:hAnsi="Times New Roman"/>
          <w:bCs/>
          <w:lang w:eastAsia="lv-LV"/>
        </w:rPr>
        <w:t>N</w:t>
      </w:r>
      <w:r w:rsidRPr="009B6E90">
        <w:rPr>
          <w:rFonts w:ascii="Times New Roman" w:eastAsia="Times New Roman" w:hAnsi="Times New Roman"/>
          <w:bCs/>
          <w:lang w:eastAsia="lv-LV"/>
        </w:rPr>
        <w:t xml:space="preserve">olikuma </w:t>
      </w:r>
      <w:r w:rsidRPr="009150E4">
        <w:rPr>
          <w:rFonts w:ascii="Times New Roman" w:hAnsi="Times New Roman"/>
          <w:lang w:val="de-DE"/>
        </w:rPr>
        <w:t>5.6.2.</w:t>
      </w:r>
      <w:r>
        <w:rPr>
          <w:rFonts w:ascii="Times New Roman" w:hAnsi="Times New Roman"/>
          <w:lang w:val="de-DE"/>
        </w:rPr>
        <w:t>,  5.6.7.</w:t>
      </w:r>
      <w:r w:rsidRPr="009150E4">
        <w:rPr>
          <w:rFonts w:ascii="Times New Roman" w:hAnsi="Times New Roman"/>
          <w:lang w:val="de-DE"/>
        </w:rPr>
        <w:t xml:space="preserve">  </w:t>
      </w:r>
      <w:r>
        <w:rPr>
          <w:rFonts w:ascii="Times New Roman" w:hAnsi="Times New Roman"/>
          <w:lang w:val="de-DE"/>
        </w:rPr>
        <w:t xml:space="preserve">un </w:t>
      </w:r>
      <w:r w:rsidRPr="009B6E90">
        <w:rPr>
          <w:rFonts w:ascii="Times New Roman" w:hAnsi="Times New Roman"/>
          <w:bCs/>
          <w:lang w:eastAsia="lv-LV"/>
        </w:rPr>
        <w:t xml:space="preserve"> 5.9.</w:t>
      </w:r>
      <w:r w:rsidRPr="009B6E90">
        <w:rPr>
          <w:rFonts w:ascii="Times New Roman" w:eastAsia="Times New Roman" w:hAnsi="Times New Roman"/>
          <w:bCs/>
          <w:lang w:eastAsia="lv-LV"/>
        </w:rPr>
        <w:t xml:space="preserve">apakšpunktā noteikto, </w:t>
      </w:r>
      <w:r w:rsidRPr="00FC4158">
        <w:rPr>
          <w:rFonts w:ascii="Times New Roman" w:hAnsi="Times New Roman"/>
          <w:bCs/>
          <w:lang w:eastAsia="lv-LV"/>
        </w:rPr>
        <w:t xml:space="preserve">un saskaņā ar </w:t>
      </w:r>
      <w:r>
        <w:rPr>
          <w:rFonts w:ascii="Times New Roman" w:hAnsi="Times New Roman"/>
          <w:bCs/>
          <w:lang w:eastAsia="lv-LV"/>
        </w:rPr>
        <w:t>PIL</w:t>
      </w:r>
      <w:r w:rsidRPr="00FC4158">
        <w:rPr>
          <w:rFonts w:ascii="Times New Roman" w:hAnsi="Times New Roman"/>
          <w:bCs/>
          <w:lang w:eastAsia="lv-LV"/>
        </w:rPr>
        <w:t xml:space="preserve"> </w:t>
      </w:r>
      <w:r>
        <w:rPr>
          <w:rFonts w:ascii="Times New Roman" w:hAnsi="Times New Roman"/>
          <w:bCs/>
          <w:lang w:eastAsia="lv-LV"/>
        </w:rPr>
        <w:t>9</w:t>
      </w:r>
      <w:r w:rsidRPr="00FC4158">
        <w:rPr>
          <w:rFonts w:ascii="Times New Roman" w:hAnsi="Times New Roman"/>
          <w:bCs/>
          <w:lang w:eastAsia="lv-LV"/>
        </w:rPr>
        <w:t xml:space="preserve">.panta </w:t>
      </w:r>
      <w:r>
        <w:rPr>
          <w:rFonts w:ascii="Times New Roman" w:hAnsi="Times New Roman"/>
          <w:bCs/>
          <w:lang w:eastAsia="lv-LV"/>
        </w:rPr>
        <w:t>trīspadsmitās</w:t>
      </w:r>
      <w:r w:rsidRPr="00FC4158">
        <w:rPr>
          <w:rFonts w:ascii="Times New Roman" w:hAnsi="Times New Roman"/>
          <w:bCs/>
          <w:lang w:eastAsia="lv-LV"/>
        </w:rPr>
        <w:t xml:space="preserve"> daļas regulējumu</w:t>
      </w:r>
      <w:r w:rsidRPr="009B6E90">
        <w:rPr>
          <w:rFonts w:ascii="Times New Roman" w:eastAsia="Times New Roman" w:hAnsi="Times New Roman"/>
          <w:bCs/>
          <w:lang w:eastAsia="lv-LV"/>
        </w:rPr>
        <w:t>, vienbalsīgi nolemj:</w:t>
      </w:r>
    </w:p>
    <w:p w:rsidR="00FC0EDD" w:rsidRPr="00FC0EDD" w:rsidRDefault="00AE7FD3" w:rsidP="00FC0EDD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4775CC">
        <w:rPr>
          <w:rFonts w:ascii="Times New Roman" w:hAnsi="Times New Roman"/>
        </w:rPr>
        <w:t xml:space="preserve">atzīt </w:t>
      </w:r>
      <w:r>
        <w:rPr>
          <w:rFonts w:ascii="Times New Roman" w:hAnsi="Times New Roman"/>
        </w:rPr>
        <w:t>P</w:t>
      </w:r>
      <w:r w:rsidRPr="004775CC">
        <w:rPr>
          <w:rFonts w:ascii="Times New Roman" w:hAnsi="Times New Roman"/>
        </w:rPr>
        <w:t xml:space="preserve">retendentu </w:t>
      </w:r>
      <w:r w:rsidRPr="00AE7FD3">
        <w:rPr>
          <w:rFonts w:ascii="Times New Roman" w:hAnsi="Times New Roman"/>
          <w:b/>
        </w:rPr>
        <w:t>Sabiedrība ar ierobežotu atbildību “</w:t>
      </w:r>
      <w:proofErr w:type="spellStart"/>
      <w:r w:rsidRPr="00AE7FD3">
        <w:rPr>
          <w:rFonts w:ascii="Times New Roman" w:hAnsi="Times New Roman"/>
          <w:b/>
        </w:rPr>
        <w:t>Reck</w:t>
      </w:r>
      <w:proofErr w:type="spellEnd"/>
      <w:r w:rsidRPr="00AE7FD3">
        <w:rPr>
          <w:rFonts w:ascii="Times New Roman" w:hAnsi="Times New Roman"/>
          <w:b/>
        </w:rPr>
        <w:t>”</w:t>
      </w:r>
      <w:r w:rsidRPr="004775CC">
        <w:rPr>
          <w:rFonts w:ascii="Times New Roman" w:hAnsi="Times New Roman"/>
          <w:b/>
        </w:rPr>
        <w:t xml:space="preserve"> </w:t>
      </w:r>
      <w:r w:rsidRPr="004775CC">
        <w:rPr>
          <w:rFonts w:ascii="Times New Roman" w:hAnsi="Times New Roman"/>
          <w:bCs/>
          <w:lang w:eastAsia="lv-LV"/>
        </w:rPr>
        <w:t xml:space="preserve">par uzvarētāju </w:t>
      </w:r>
      <w:r w:rsidRPr="007132EF">
        <w:rPr>
          <w:rFonts w:ascii="Times New Roman" w:hAnsi="Times New Roman"/>
          <w:bCs/>
          <w:lang w:eastAsia="lv-LV"/>
        </w:rPr>
        <w:t>Iepirkumā</w:t>
      </w:r>
      <w:r w:rsidRPr="004775CC">
        <w:rPr>
          <w:rFonts w:ascii="Times New Roman" w:hAnsi="Times New Roman"/>
          <w:b/>
          <w:bCs/>
          <w:lang w:eastAsia="lv-LV"/>
        </w:rPr>
        <w:t xml:space="preserve"> </w:t>
      </w:r>
      <w:r w:rsidRPr="00B465CE">
        <w:rPr>
          <w:rFonts w:ascii="Times New Roman" w:hAnsi="Times New Roman"/>
          <w:bCs/>
          <w:lang w:eastAsia="lv-LV"/>
        </w:rPr>
        <w:t xml:space="preserve">un piešķirt </w:t>
      </w:r>
      <w:r>
        <w:rPr>
          <w:rFonts w:ascii="Times New Roman" w:hAnsi="Times New Roman"/>
          <w:bCs/>
          <w:lang w:eastAsia="lv-LV"/>
        </w:rPr>
        <w:t xml:space="preserve">Pretendentam </w:t>
      </w:r>
      <w:r w:rsidRPr="00B465CE">
        <w:rPr>
          <w:rFonts w:ascii="Times New Roman" w:hAnsi="Times New Roman"/>
          <w:bCs/>
          <w:lang w:eastAsia="lv-LV"/>
        </w:rPr>
        <w:t>līguma slēgšanas tiesības</w:t>
      </w:r>
      <w:r>
        <w:rPr>
          <w:rFonts w:ascii="Times New Roman" w:hAnsi="Times New Roman"/>
          <w:bCs/>
          <w:lang w:eastAsia="lv-LV"/>
        </w:rPr>
        <w:t>,</w:t>
      </w:r>
      <w:r w:rsidRPr="00FC4158">
        <w:rPr>
          <w:rFonts w:ascii="Times New Roman" w:hAnsi="Times New Roman"/>
          <w:b/>
          <w:bCs/>
        </w:rPr>
        <w:t xml:space="preserve"> </w:t>
      </w:r>
      <w:r w:rsidRPr="00FC4158">
        <w:rPr>
          <w:rFonts w:ascii="Times New Roman" w:hAnsi="Times New Roman"/>
          <w:bCs/>
          <w:lang w:eastAsia="lv-LV"/>
        </w:rPr>
        <w:t xml:space="preserve">jo </w:t>
      </w:r>
      <w:r>
        <w:rPr>
          <w:rFonts w:ascii="Times New Roman" w:hAnsi="Times New Roman"/>
          <w:bCs/>
          <w:lang w:eastAsia="lv-LV"/>
        </w:rPr>
        <w:t>tā</w:t>
      </w:r>
      <w:r w:rsidRPr="00B465CE">
        <w:rPr>
          <w:rFonts w:ascii="Times New Roman" w:hAnsi="Times New Roman"/>
          <w:bCs/>
          <w:lang w:eastAsia="lv-LV"/>
        </w:rPr>
        <w:t xml:space="preserve"> piedāvājums </w:t>
      </w:r>
      <w:r>
        <w:rPr>
          <w:rFonts w:ascii="Times New Roman" w:hAnsi="Times New Roman"/>
          <w:bCs/>
          <w:lang w:eastAsia="lv-LV"/>
        </w:rPr>
        <w:t xml:space="preserve">atbilst Nolikumā noteiktajām prasībām un </w:t>
      </w:r>
      <w:r w:rsidRPr="00B465CE">
        <w:rPr>
          <w:rFonts w:ascii="Times New Roman" w:hAnsi="Times New Roman"/>
          <w:bCs/>
          <w:lang w:eastAsia="lv-LV"/>
        </w:rPr>
        <w:t xml:space="preserve">ir </w:t>
      </w:r>
      <w:r>
        <w:rPr>
          <w:rFonts w:ascii="Times New Roman" w:hAnsi="Times New Roman"/>
          <w:bCs/>
          <w:lang w:eastAsia="lv-LV"/>
        </w:rPr>
        <w:t>saimnieciski visizdevīgākais piedāvājums</w:t>
      </w:r>
      <w:r w:rsidR="00654901">
        <w:rPr>
          <w:rFonts w:ascii="Times New Roman" w:hAnsi="Times New Roman"/>
          <w:bCs/>
          <w:lang w:eastAsia="lv-LV"/>
        </w:rPr>
        <w:t>,</w:t>
      </w:r>
      <w:r>
        <w:rPr>
          <w:rFonts w:ascii="Times New Roman" w:hAnsi="Times New Roman"/>
          <w:bCs/>
          <w:lang w:eastAsia="lv-LV"/>
        </w:rPr>
        <w:t xml:space="preserve"> </w:t>
      </w:r>
      <w:r w:rsidR="00654901" w:rsidRPr="000F3457">
        <w:rPr>
          <w:rFonts w:ascii="Times New Roman" w:hAnsi="Times New Roman"/>
          <w:bCs/>
        </w:rPr>
        <w:t xml:space="preserve">iegūstot </w:t>
      </w:r>
      <w:r w:rsidR="00654901">
        <w:rPr>
          <w:rFonts w:ascii="Times New Roman" w:hAnsi="Times New Roman"/>
          <w:bCs/>
          <w:lang w:eastAsia="lv-LV"/>
        </w:rPr>
        <w:t xml:space="preserve">vislielāko punktu skaitu </w:t>
      </w:r>
      <w:r w:rsidR="00654901" w:rsidRPr="000F3457">
        <w:rPr>
          <w:rFonts w:ascii="Times New Roman" w:hAnsi="Times New Roman"/>
          <w:bCs/>
        </w:rPr>
        <w:t xml:space="preserve">– </w:t>
      </w:r>
      <w:r w:rsidR="00C7461A">
        <w:rPr>
          <w:rFonts w:ascii="Times New Roman" w:hAnsi="Times New Roman"/>
          <w:b/>
        </w:rPr>
        <w:t>100</w:t>
      </w:r>
      <w:r w:rsidR="00654901">
        <w:rPr>
          <w:rFonts w:ascii="Times New Roman" w:hAnsi="Times New Roman"/>
          <w:b/>
        </w:rPr>
        <w:t xml:space="preserve"> </w:t>
      </w:r>
      <w:r w:rsidR="00654901" w:rsidRPr="00654901">
        <w:rPr>
          <w:rFonts w:ascii="Times New Roman" w:hAnsi="Times New Roman"/>
          <w:bCs/>
        </w:rPr>
        <w:t>punktus;</w:t>
      </w:r>
      <w:r w:rsidR="00654901" w:rsidRPr="00654901">
        <w:rPr>
          <w:rFonts w:ascii="Times New Roman" w:hAnsi="Times New Roman"/>
        </w:rPr>
        <w:t xml:space="preserve"> </w:t>
      </w:r>
    </w:p>
    <w:p w:rsidR="00FC0EDD" w:rsidRPr="00FC0EDD" w:rsidRDefault="00FC0EDD" w:rsidP="00FC0EDD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FC0EDD">
        <w:rPr>
          <w:rFonts w:ascii="Times New Roman" w:hAnsi="Times New Roman"/>
        </w:rPr>
        <w:t xml:space="preserve">noraidīt Pretendentu </w:t>
      </w:r>
      <w:r w:rsidRPr="00FC0EDD">
        <w:rPr>
          <w:rFonts w:ascii="Times New Roman" w:hAnsi="Times New Roman"/>
          <w:b/>
        </w:rPr>
        <w:t>SIA “REDEX”</w:t>
      </w:r>
      <w:r w:rsidRPr="00FC0EDD">
        <w:rPr>
          <w:rFonts w:ascii="Times New Roman" w:hAnsi="Times New Roman"/>
        </w:rPr>
        <w:t xml:space="preserve"> no turpmākas dalības Iepirkumā,</w:t>
      </w:r>
      <w:r w:rsidRPr="00FC0EDD">
        <w:rPr>
          <w:rFonts w:ascii="Times New Roman" w:hAnsi="Times New Roman"/>
          <w:b/>
        </w:rPr>
        <w:t xml:space="preserve"> </w:t>
      </w:r>
      <w:r w:rsidRPr="00FC0EDD">
        <w:rPr>
          <w:rFonts w:ascii="Times New Roman" w:hAnsi="Times New Roman"/>
        </w:rPr>
        <w:t>jo</w:t>
      </w:r>
      <w:r w:rsidRPr="00FC0EDD">
        <w:rPr>
          <w:rFonts w:ascii="Times New Roman" w:hAnsi="Times New Roman"/>
          <w:b/>
        </w:rPr>
        <w:t xml:space="preserve"> </w:t>
      </w:r>
      <w:r w:rsidRPr="00FC0EDD">
        <w:rPr>
          <w:rFonts w:ascii="Times New Roman" w:hAnsi="Times New Roman"/>
        </w:rPr>
        <w:t xml:space="preserve">Pretendenta </w:t>
      </w:r>
      <w:r w:rsidRPr="00FC0EDD">
        <w:rPr>
          <w:rFonts w:ascii="Times New Roman" w:hAnsi="Times New Roman"/>
          <w:b/>
        </w:rPr>
        <w:t>SIA “REDEX”</w:t>
      </w:r>
      <w:r w:rsidRPr="00FC0EDD">
        <w:rPr>
          <w:rFonts w:ascii="Times New Roman" w:hAnsi="Times New Roman"/>
        </w:rPr>
        <w:t xml:space="preserve"> Piedāvājums neatbilst Nolikumā noteiktajām Pasūtītāja prasībām;</w:t>
      </w:r>
    </w:p>
    <w:p w:rsidR="00FC0EDD" w:rsidRPr="00FC0EDD" w:rsidRDefault="00AE7FD3" w:rsidP="00FC0EDD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FC0EDD">
        <w:rPr>
          <w:rFonts w:ascii="Times New Roman" w:hAnsi="Times New Roman"/>
        </w:rPr>
        <w:t xml:space="preserve">triju darbdienu laikā pēc Komisijas lēmuma pieņemšanas Pasūtītājam informēt Pretendentus par Iepirkumā izraudzīto Pretendentu, kā arī Pasūtītājam savā pircēja profilā nodrošināt brīvu un tiešu elektronisku piekļuvi minētajam Komisijas lēmumam; </w:t>
      </w:r>
    </w:p>
    <w:p w:rsidR="00FC0EDD" w:rsidRPr="00FC0EDD" w:rsidRDefault="00AE7FD3" w:rsidP="00FC0EDD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FC0EDD">
        <w:lastRenderedPageBreak/>
        <w:t>desmit darbdienu laikā pēc tam, kad noslēgts Iepirkuma līgums,</w:t>
      </w:r>
      <w:r w:rsidRPr="00FC0EDD">
        <w:rPr>
          <w:b/>
        </w:rPr>
        <w:t xml:space="preserve"> </w:t>
      </w:r>
      <w:r w:rsidRPr="00FC0EDD">
        <w:t>Pasūtītājam sagatavot un publikāciju vadības sistēmā</w:t>
      </w:r>
      <w:r w:rsidRPr="00FC0EDD">
        <w:rPr>
          <w:b/>
        </w:rPr>
        <w:t xml:space="preserve"> </w:t>
      </w:r>
      <w:r w:rsidRPr="00FC0EDD">
        <w:t>publicēt informatīvu paziņojumu par noslēgto līgumu;</w:t>
      </w:r>
    </w:p>
    <w:p w:rsidR="00AE7FD3" w:rsidRPr="00FC0EDD" w:rsidRDefault="00AE7FD3" w:rsidP="00FC0EDD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FC0EDD">
        <w:t>desmit darbdienu laikā pēc tam, kad stājas spēkā Iepirkuma līgums, Pasūtītājam savā pircēja profilā ievietot attiecīgi Iepirkuma līguma tekstu, atbilstoši normatīvajos aktos noteiktajai kārtībai ievērojot komercnoslēpuma aizsardzības prasības.</w:t>
      </w:r>
    </w:p>
    <w:p w:rsidR="00833C79" w:rsidRPr="00833C79" w:rsidRDefault="00833C79" w:rsidP="00833C79">
      <w:pPr>
        <w:spacing w:before="240"/>
        <w:jc w:val="both"/>
        <w:rPr>
          <w:rFonts w:ascii="Times New Roman" w:hAnsi="Times New Roman"/>
          <w:bCs/>
        </w:rPr>
      </w:pPr>
      <w:r w:rsidRPr="00833C79">
        <w:rPr>
          <w:rFonts w:ascii="Times New Roman" w:hAnsi="Times New Roman"/>
          <w:bCs/>
        </w:rPr>
        <w:t>Jautājumu, iebildumu un papildinājumu Komisijas locekļiem nav.</w:t>
      </w:r>
    </w:p>
    <w:tbl>
      <w:tblPr>
        <w:tblW w:w="9387" w:type="dxa"/>
        <w:tblLook w:val="04A0" w:firstRow="1" w:lastRow="0" w:firstColumn="1" w:lastColumn="0" w:noHBand="0" w:noVBand="1"/>
      </w:tblPr>
      <w:tblGrid>
        <w:gridCol w:w="3794"/>
        <w:gridCol w:w="3424"/>
        <w:gridCol w:w="2169"/>
      </w:tblGrid>
      <w:tr w:rsidR="00086B1B" w:rsidRPr="00E12557" w:rsidTr="006D7D52">
        <w:tc>
          <w:tcPr>
            <w:tcW w:w="3794" w:type="dxa"/>
            <w:hideMark/>
          </w:tcPr>
          <w:p w:rsidR="00086B1B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proofErr w:type="spellStart"/>
            <w:r w:rsidRPr="00E12557">
              <w:rPr>
                <w:rFonts w:ascii="Times New Roman" w:eastAsia="Times New Roman" w:hAnsi="Times New Roman"/>
                <w:lang w:val="en-GB"/>
              </w:rPr>
              <w:t>Komisijas</w:t>
            </w:r>
            <w:proofErr w:type="spellEnd"/>
            <w:r w:rsidRPr="00E12557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E12557">
              <w:rPr>
                <w:rFonts w:ascii="Times New Roman" w:eastAsia="Times New Roman" w:hAnsi="Times New Roman"/>
                <w:lang w:val="en-GB"/>
              </w:rPr>
              <w:t>priekšsēdētāj</w:t>
            </w:r>
            <w:r>
              <w:rPr>
                <w:rFonts w:ascii="Times New Roman" w:eastAsia="Times New Roman" w:hAnsi="Times New Roman"/>
                <w:lang w:val="en-GB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lang w:val="en-GB"/>
              </w:rPr>
              <w:t>: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1B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</w:p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personiskais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paraksts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</w:p>
        </w:tc>
        <w:tc>
          <w:tcPr>
            <w:tcW w:w="2169" w:type="dxa"/>
            <w:hideMark/>
          </w:tcPr>
          <w:p w:rsidR="00086B1B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  <w:r>
              <w:rPr>
                <w:rFonts w:ascii="Times New Roman" w:eastAsia="Times New Roman" w:hAnsi="Times New Roman"/>
                <w:lang w:val="en-GB"/>
              </w:rPr>
              <w:t>B</w:t>
            </w:r>
            <w:r w:rsidRPr="00E12557">
              <w:rPr>
                <w:rFonts w:ascii="Times New Roman" w:eastAsia="Times New Roman" w:hAnsi="Times New Roman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/>
                <w:lang w:val="en-GB"/>
              </w:rPr>
              <w:t>Broka</w:t>
            </w: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</w:p>
        </w:tc>
      </w:tr>
    </w:tbl>
    <w:p w:rsidR="00086B1B" w:rsidRPr="001359DC" w:rsidRDefault="00086B1B" w:rsidP="00086B1B">
      <w:pPr>
        <w:rPr>
          <w:rFonts w:ascii="Times New Roman" w:hAnsi="Times New Roman"/>
          <w:color w:val="000000"/>
        </w:rPr>
      </w:pPr>
    </w:p>
    <w:tbl>
      <w:tblPr>
        <w:tblW w:w="9387" w:type="dxa"/>
        <w:tblLook w:val="04A0" w:firstRow="1" w:lastRow="0" w:firstColumn="1" w:lastColumn="0" w:noHBand="0" w:noVBand="1"/>
      </w:tblPr>
      <w:tblGrid>
        <w:gridCol w:w="3794"/>
        <w:gridCol w:w="3424"/>
        <w:gridCol w:w="2169"/>
      </w:tblGrid>
      <w:tr w:rsidR="00086B1B" w:rsidRPr="00E12557" w:rsidTr="006D7D52">
        <w:tc>
          <w:tcPr>
            <w:tcW w:w="3794" w:type="dxa"/>
            <w:hideMark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proofErr w:type="spellStart"/>
            <w:r w:rsidRPr="00E12557">
              <w:rPr>
                <w:rFonts w:ascii="Times New Roman" w:eastAsia="Times New Roman" w:hAnsi="Times New Roman"/>
                <w:lang w:val="en-GB"/>
              </w:rPr>
              <w:t>Komisijas</w:t>
            </w:r>
            <w:proofErr w:type="spellEnd"/>
            <w:r w:rsidRPr="00E12557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E12557">
              <w:rPr>
                <w:rFonts w:ascii="Times New Roman" w:eastAsia="Times New Roman" w:hAnsi="Times New Roman"/>
                <w:lang w:val="en-GB"/>
              </w:rPr>
              <w:t>priekšsēdētāj</w:t>
            </w:r>
            <w:r>
              <w:rPr>
                <w:rFonts w:ascii="Times New Roman" w:eastAsia="Times New Roman" w:hAnsi="Times New Roman"/>
                <w:lang w:val="en-GB"/>
              </w:rPr>
              <w:t>as</w:t>
            </w:r>
            <w:proofErr w:type="spellEnd"/>
            <w:r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GB"/>
              </w:rPr>
              <w:t>vietniece</w:t>
            </w:r>
            <w:proofErr w:type="spellEnd"/>
            <w:r>
              <w:rPr>
                <w:rFonts w:ascii="Times New Roman" w:eastAsia="Times New Roman" w:hAnsi="Times New Roman"/>
                <w:lang w:val="en-GB"/>
              </w:rPr>
              <w:t>: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personiskais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paraksts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</w:p>
        </w:tc>
        <w:tc>
          <w:tcPr>
            <w:tcW w:w="2169" w:type="dxa"/>
            <w:hideMark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  <w:r>
              <w:rPr>
                <w:rFonts w:ascii="Times New Roman" w:eastAsia="Times New Roman" w:hAnsi="Times New Roman"/>
                <w:lang w:val="en-GB"/>
              </w:rPr>
              <w:t>A</w:t>
            </w:r>
            <w:r w:rsidRPr="00E12557">
              <w:rPr>
                <w:rFonts w:ascii="Times New Roman" w:eastAsia="Times New Roman" w:hAnsi="Times New Roman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/>
                <w:lang w:val="en-GB"/>
              </w:rPr>
              <w:t>Ozola</w:t>
            </w: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</w:p>
        </w:tc>
      </w:tr>
      <w:tr w:rsidR="00086B1B" w:rsidRPr="00E12557" w:rsidTr="006D7D52">
        <w:tc>
          <w:tcPr>
            <w:tcW w:w="3794" w:type="dxa"/>
          </w:tcPr>
          <w:p w:rsidR="00086B1B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lang w:val="en-GB"/>
              </w:rPr>
              <w:t>Komisijas</w:t>
            </w:r>
            <w:proofErr w:type="spellEnd"/>
            <w:r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GB"/>
              </w:rPr>
              <w:t>locekļi</w:t>
            </w:r>
            <w:proofErr w:type="spellEnd"/>
            <w:r>
              <w:rPr>
                <w:rFonts w:ascii="Times New Roman" w:eastAsia="Times New Roman" w:hAnsi="Times New Roman"/>
                <w:lang w:val="en-GB"/>
              </w:rPr>
              <w:t>: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B1B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</w:p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personiskais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paraksts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</w:p>
        </w:tc>
        <w:tc>
          <w:tcPr>
            <w:tcW w:w="2169" w:type="dxa"/>
          </w:tcPr>
          <w:p w:rsidR="00086B1B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r w:rsidRPr="00E12557">
              <w:rPr>
                <w:rFonts w:ascii="Times New Roman" w:eastAsia="Times New Roman" w:hAnsi="Times New Roman"/>
                <w:lang w:val="en-GB"/>
              </w:rPr>
              <w:t>/A. Brakša/</w:t>
            </w:r>
          </w:p>
        </w:tc>
      </w:tr>
      <w:tr w:rsidR="00086B1B" w:rsidRPr="00E12557" w:rsidTr="006D7D52">
        <w:tc>
          <w:tcPr>
            <w:tcW w:w="3794" w:type="dxa"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</w:p>
        </w:tc>
        <w:tc>
          <w:tcPr>
            <w:tcW w:w="2169" w:type="dxa"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086B1B" w:rsidRPr="00E12557" w:rsidTr="006D7D52">
        <w:tc>
          <w:tcPr>
            <w:tcW w:w="3794" w:type="dxa"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personiskais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paraksts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</w:p>
        </w:tc>
        <w:tc>
          <w:tcPr>
            <w:tcW w:w="2169" w:type="dxa"/>
            <w:hideMark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  <w:r>
              <w:rPr>
                <w:rFonts w:ascii="Times New Roman" w:eastAsia="Times New Roman" w:hAnsi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lang w:val="en-GB"/>
              </w:rPr>
              <w:t>A. Kuziks</w:t>
            </w:r>
            <w:r w:rsidRPr="00E12557">
              <w:rPr>
                <w:rFonts w:ascii="Times New Roman" w:eastAsia="Times New Roman" w:hAnsi="Times New Roman"/>
                <w:lang w:val="en-GB"/>
              </w:rPr>
              <w:t xml:space="preserve"> </w:t>
            </w: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</w:p>
        </w:tc>
      </w:tr>
      <w:tr w:rsidR="00086B1B" w:rsidRPr="00E12557" w:rsidTr="006D7D52">
        <w:tc>
          <w:tcPr>
            <w:tcW w:w="3794" w:type="dxa"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1B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</w:p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personiskais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paraksts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</w:p>
        </w:tc>
        <w:tc>
          <w:tcPr>
            <w:tcW w:w="2169" w:type="dxa"/>
          </w:tcPr>
          <w:p w:rsidR="00086B1B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/A</w:t>
            </w:r>
            <w:r w:rsidRPr="00E12557">
              <w:rPr>
                <w:rFonts w:ascii="Times New Roman" w:eastAsia="Times New Roman" w:hAnsi="Times New Roman"/>
                <w:lang w:val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en-GB"/>
              </w:rPr>
              <w:t>Andržejevska</w:t>
            </w:r>
            <w:proofErr w:type="spellEnd"/>
            <w:r>
              <w:rPr>
                <w:rFonts w:ascii="Times New Roman" w:eastAsia="Times New Roman" w:hAnsi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lang w:val="en-GB"/>
              </w:rPr>
              <w:t>/</w:t>
            </w:r>
          </w:p>
        </w:tc>
      </w:tr>
      <w:tr w:rsidR="00086B1B" w:rsidRPr="00E12557" w:rsidTr="006D7D52">
        <w:tc>
          <w:tcPr>
            <w:tcW w:w="3794" w:type="dxa"/>
            <w:hideMark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r w:rsidRPr="00E12557">
              <w:rPr>
                <w:rFonts w:ascii="Times New Roman" w:eastAsia="Times New Roman" w:hAnsi="Times New Roman"/>
                <w:lang w:val="en-GB"/>
              </w:rPr>
              <w:t xml:space="preserve">            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</w:p>
        </w:tc>
        <w:tc>
          <w:tcPr>
            <w:tcW w:w="2169" w:type="dxa"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086B1B" w:rsidRPr="00E12557" w:rsidTr="006D7D52">
        <w:tc>
          <w:tcPr>
            <w:tcW w:w="3794" w:type="dxa"/>
            <w:hideMark/>
          </w:tcPr>
          <w:p w:rsidR="00086B1B" w:rsidRPr="00E12557" w:rsidRDefault="00086B1B" w:rsidP="006D7D52">
            <w:pPr>
              <w:rPr>
                <w:rFonts w:ascii="Times New Roman" w:eastAsia="Times New Roman" w:hAnsi="Times New Roman"/>
                <w:lang w:val="en-GB"/>
              </w:rPr>
            </w:pPr>
            <w:r w:rsidRPr="00E12557">
              <w:rPr>
                <w:rFonts w:ascii="Times New Roman" w:eastAsia="Times New Roman" w:hAnsi="Times New Roman"/>
                <w:iCs/>
                <w:lang w:val="en-GB"/>
              </w:rPr>
              <w:t xml:space="preserve">              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1B" w:rsidRPr="00E12557" w:rsidRDefault="00086B1B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personiskais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paraksts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</w:p>
        </w:tc>
        <w:tc>
          <w:tcPr>
            <w:tcW w:w="2169" w:type="dxa"/>
            <w:hideMark/>
          </w:tcPr>
          <w:p w:rsidR="00086B1B" w:rsidRPr="00E12557" w:rsidRDefault="00086B1B" w:rsidP="00086B1B">
            <w:pPr>
              <w:rPr>
                <w:rFonts w:ascii="Times New Roman" w:eastAsia="Times New Roman" w:hAnsi="Times New Roman"/>
                <w:lang w:val="en-GB"/>
              </w:rPr>
            </w:pP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  <w:r>
              <w:rPr>
                <w:rFonts w:ascii="Times New Roman" w:eastAsia="Times New Roman" w:hAnsi="Times New Roman"/>
                <w:lang w:val="en-GB"/>
              </w:rPr>
              <w:t>S</w:t>
            </w:r>
            <w:r w:rsidRPr="00E12557">
              <w:rPr>
                <w:rFonts w:ascii="Times New Roman" w:eastAsia="Times New Roman" w:hAnsi="Times New Roman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/>
                <w:lang w:val="en-GB"/>
              </w:rPr>
              <w:t>Ulmane</w:t>
            </w: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</w:p>
        </w:tc>
      </w:tr>
      <w:tr w:rsidR="00FA2205" w:rsidRPr="00E12557" w:rsidTr="00FA2205">
        <w:tc>
          <w:tcPr>
            <w:tcW w:w="3794" w:type="dxa"/>
            <w:hideMark/>
          </w:tcPr>
          <w:p w:rsidR="00FA2205" w:rsidRDefault="00FA2205" w:rsidP="006D7D52">
            <w:pPr>
              <w:rPr>
                <w:rFonts w:ascii="Times New Roman" w:eastAsia="Times New Roman" w:hAnsi="Times New Roman"/>
                <w:iCs/>
                <w:lang w:val="en-GB"/>
              </w:rPr>
            </w:pPr>
          </w:p>
          <w:p w:rsidR="00FA2205" w:rsidRPr="00FA2205" w:rsidRDefault="00FA2205" w:rsidP="006D7D52">
            <w:pPr>
              <w:rPr>
                <w:rFonts w:ascii="Times New Roman" w:eastAsia="Times New Roman" w:hAnsi="Times New Roman"/>
                <w:iCs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lang w:val="en-GB"/>
              </w:rPr>
              <w:t>K</w:t>
            </w:r>
            <w:r w:rsidRPr="00E12557">
              <w:rPr>
                <w:rFonts w:ascii="Times New Roman" w:eastAsia="Times New Roman" w:hAnsi="Times New Roman"/>
                <w:iCs/>
                <w:lang w:val="en-GB"/>
              </w:rPr>
              <w:t>omisijas</w:t>
            </w:r>
            <w:proofErr w:type="spellEnd"/>
            <w:r w:rsidRPr="00E12557">
              <w:rPr>
                <w:rFonts w:ascii="Times New Roman" w:eastAsia="Times New Roman" w:hAnsi="Times New Roman"/>
                <w:iCs/>
                <w:lang w:val="en-GB"/>
              </w:rPr>
              <w:t xml:space="preserve"> </w:t>
            </w:r>
            <w:proofErr w:type="spellStart"/>
            <w:r w:rsidRPr="00E12557">
              <w:rPr>
                <w:rFonts w:ascii="Times New Roman" w:eastAsia="Times New Roman" w:hAnsi="Times New Roman"/>
                <w:iCs/>
                <w:lang w:val="en-GB"/>
              </w:rPr>
              <w:t>sekretāre</w:t>
            </w:r>
            <w:proofErr w:type="spellEnd"/>
            <w:r w:rsidRPr="00E12557">
              <w:rPr>
                <w:rFonts w:ascii="Times New Roman" w:eastAsia="Times New Roman" w:hAnsi="Times New Roman"/>
                <w:iCs/>
                <w:lang w:val="en-GB"/>
              </w:rPr>
              <w:t xml:space="preserve">:              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205" w:rsidRDefault="00FA2205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</w:p>
          <w:p w:rsidR="00FA2205" w:rsidRPr="00E12557" w:rsidRDefault="00FA2205" w:rsidP="006D7D52">
            <w:pPr>
              <w:ind w:left="508"/>
              <w:jc w:val="center"/>
              <w:rPr>
                <w:rFonts w:ascii="Times New Roman" w:eastAsia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personiskais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val="en-GB"/>
              </w:rPr>
              <w:t>paraksts</w:t>
            </w:r>
            <w:proofErr w:type="spellEnd"/>
            <w:r>
              <w:rPr>
                <w:rFonts w:ascii="Times New Roman" w:eastAsia="Times New Roman" w:hAnsi="Times New Roman"/>
                <w:i/>
                <w:lang w:val="en-GB"/>
              </w:rPr>
              <w:t>/</w:t>
            </w:r>
          </w:p>
        </w:tc>
        <w:tc>
          <w:tcPr>
            <w:tcW w:w="2169" w:type="dxa"/>
            <w:hideMark/>
          </w:tcPr>
          <w:p w:rsidR="00FA2205" w:rsidRDefault="00FA2205" w:rsidP="006D7D52">
            <w:pPr>
              <w:rPr>
                <w:rFonts w:ascii="Times New Roman" w:eastAsia="Times New Roman" w:hAnsi="Times New Roman"/>
                <w:lang w:val="en-GB"/>
              </w:rPr>
            </w:pPr>
          </w:p>
          <w:p w:rsidR="00FA2205" w:rsidRPr="00E12557" w:rsidRDefault="00FA2205" w:rsidP="006D7D52">
            <w:pPr>
              <w:rPr>
                <w:rFonts w:ascii="Times New Roman" w:eastAsia="Times New Roman" w:hAnsi="Times New Roman"/>
                <w:lang w:val="en-GB"/>
              </w:rPr>
            </w:pPr>
            <w:bookmarkStart w:id="0" w:name="_GoBack"/>
            <w:bookmarkEnd w:id="0"/>
            <w:r w:rsidRPr="00E12557">
              <w:rPr>
                <w:rFonts w:ascii="Times New Roman" w:eastAsia="Times New Roman" w:hAnsi="Times New Roman"/>
                <w:lang w:val="en-GB"/>
              </w:rPr>
              <w:t xml:space="preserve">/A. </w:t>
            </w:r>
            <w:r>
              <w:rPr>
                <w:rFonts w:ascii="Times New Roman" w:eastAsia="Times New Roman" w:hAnsi="Times New Roman"/>
                <w:lang w:val="en-GB"/>
              </w:rPr>
              <w:t>Krūtmane</w:t>
            </w:r>
            <w:r w:rsidRPr="00E12557">
              <w:rPr>
                <w:rFonts w:ascii="Times New Roman" w:eastAsia="Times New Roman" w:hAnsi="Times New Roman"/>
                <w:lang w:val="en-GB"/>
              </w:rPr>
              <w:t>/</w:t>
            </w:r>
          </w:p>
        </w:tc>
      </w:tr>
    </w:tbl>
    <w:p w:rsidR="00AE7FD3" w:rsidRPr="00614805" w:rsidRDefault="00AE7FD3" w:rsidP="00600FAA">
      <w:pPr>
        <w:spacing w:line="360" w:lineRule="auto"/>
        <w:jc w:val="both"/>
        <w:rPr>
          <w:rFonts w:ascii="Times New Roman" w:eastAsia="Times New Roman" w:hAnsi="Times New Roman"/>
          <w:b/>
          <w:bCs/>
          <w:u w:val="single"/>
          <w:lang w:eastAsia="lv-LV"/>
        </w:rPr>
      </w:pPr>
    </w:p>
    <w:p w:rsidR="00822B18" w:rsidRPr="000F3457" w:rsidRDefault="00822B18" w:rsidP="00822B18">
      <w:pPr>
        <w:pStyle w:val="ListParagraph"/>
        <w:spacing w:line="360" w:lineRule="auto"/>
        <w:ind w:left="1080"/>
        <w:jc w:val="both"/>
        <w:rPr>
          <w:rFonts w:ascii="Times New Roman" w:hAnsi="Times New Roman"/>
        </w:rPr>
      </w:pPr>
    </w:p>
    <w:sectPr w:rsidR="00822B18" w:rsidRPr="000F3457" w:rsidSect="006033D8">
      <w:footerReference w:type="defaul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C3" w:rsidRDefault="005A39C3" w:rsidP="006033D8">
      <w:r>
        <w:separator/>
      </w:r>
    </w:p>
  </w:endnote>
  <w:endnote w:type="continuationSeparator" w:id="0">
    <w:p w:rsidR="005A39C3" w:rsidRDefault="005A39C3" w:rsidP="0060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96793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6033D8" w:rsidRPr="006033D8" w:rsidRDefault="006033D8">
        <w:pPr>
          <w:pStyle w:val="Footer"/>
          <w:jc w:val="center"/>
          <w:rPr>
            <w:rFonts w:ascii="Times New Roman" w:hAnsi="Times New Roman"/>
          </w:rPr>
        </w:pPr>
        <w:r w:rsidRPr="006033D8">
          <w:rPr>
            <w:rFonts w:ascii="Times New Roman" w:hAnsi="Times New Roman"/>
          </w:rPr>
          <w:fldChar w:fldCharType="begin"/>
        </w:r>
        <w:r w:rsidRPr="006033D8">
          <w:rPr>
            <w:rFonts w:ascii="Times New Roman" w:hAnsi="Times New Roman"/>
          </w:rPr>
          <w:instrText xml:space="preserve"> PAGE   \* MERGEFORMAT </w:instrText>
        </w:r>
        <w:r w:rsidRPr="006033D8">
          <w:rPr>
            <w:rFonts w:ascii="Times New Roman" w:hAnsi="Times New Roman"/>
          </w:rPr>
          <w:fldChar w:fldCharType="separate"/>
        </w:r>
        <w:r w:rsidR="00FA2205">
          <w:rPr>
            <w:rFonts w:ascii="Times New Roman" w:hAnsi="Times New Roman"/>
            <w:noProof/>
          </w:rPr>
          <w:t>5</w:t>
        </w:r>
        <w:r w:rsidRPr="006033D8">
          <w:rPr>
            <w:rFonts w:ascii="Times New Roman" w:hAnsi="Times New Roman"/>
            <w:noProof/>
          </w:rPr>
          <w:fldChar w:fldCharType="end"/>
        </w:r>
      </w:p>
    </w:sdtContent>
  </w:sdt>
  <w:p w:rsidR="006033D8" w:rsidRDefault="00603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C3" w:rsidRDefault="005A39C3" w:rsidP="006033D8">
      <w:r>
        <w:separator/>
      </w:r>
    </w:p>
  </w:footnote>
  <w:footnote w:type="continuationSeparator" w:id="0">
    <w:p w:rsidR="005A39C3" w:rsidRDefault="005A39C3" w:rsidP="0060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8FD"/>
    <w:multiLevelType w:val="hybridMultilevel"/>
    <w:tmpl w:val="0B46C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A294C"/>
    <w:multiLevelType w:val="hybridMultilevel"/>
    <w:tmpl w:val="73946DF6"/>
    <w:lvl w:ilvl="0" w:tplc="29424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0B0"/>
    <w:multiLevelType w:val="hybridMultilevel"/>
    <w:tmpl w:val="802C9288"/>
    <w:lvl w:ilvl="0" w:tplc="10AC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82D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965FA"/>
    <w:multiLevelType w:val="hybridMultilevel"/>
    <w:tmpl w:val="6EDC7C1A"/>
    <w:lvl w:ilvl="0" w:tplc="4E7E89E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6610E"/>
    <w:multiLevelType w:val="multilevel"/>
    <w:tmpl w:val="1A64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30654D45"/>
    <w:multiLevelType w:val="multilevel"/>
    <w:tmpl w:val="E16A60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E27067"/>
    <w:multiLevelType w:val="hybridMultilevel"/>
    <w:tmpl w:val="34866916"/>
    <w:lvl w:ilvl="0" w:tplc="0426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7" w15:restartNumberingAfterBreak="0">
    <w:nsid w:val="41FF173E"/>
    <w:multiLevelType w:val="multilevel"/>
    <w:tmpl w:val="58F2D1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561C69"/>
    <w:multiLevelType w:val="multilevel"/>
    <w:tmpl w:val="1E24A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452F51D7"/>
    <w:multiLevelType w:val="hybridMultilevel"/>
    <w:tmpl w:val="FB688E76"/>
    <w:lvl w:ilvl="0" w:tplc="B5A4F38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A396E"/>
    <w:multiLevelType w:val="multilevel"/>
    <w:tmpl w:val="409890B8"/>
    <w:lvl w:ilvl="0">
      <w:start w:val="1"/>
      <w:numFmt w:val="decimal"/>
      <w:lvlText w:val="%1."/>
      <w:lvlJc w:val="left"/>
      <w:pPr>
        <w:tabs>
          <w:tab w:val="num" w:pos="7980"/>
        </w:tabs>
        <w:ind w:left="798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E9"/>
    <w:rsid w:val="00007E80"/>
    <w:rsid w:val="000177B7"/>
    <w:rsid w:val="00017AE0"/>
    <w:rsid w:val="0003443F"/>
    <w:rsid w:val="00037A6A"/>
    <w:rsid w:val="00050565"/>
    <w:rsid w:val="00050D81"/>
    <w:rsid w:val="00054241"/>
    <w:rsid w:val="0007019F"/>
    <w:rsid w:val="0008123F"/>
    <w:rsid w:val="00086B1B"/>
    <w:rsid w:val="00092D29"/>
    <w:rsid w:val="000A3901"/>
    <w:rsid w:val="000A7EAA"/>
    <w:rsid w:val="000C154A"/>
    <w:rsid w:val="000D03A7"/>
    <w:rsid w:val="000D43E8"/>
    <w:rsid w:val="000D707A"/>
    <w:rsid w:val="000F2159"/>
    <w:rsid w:val="000F3457"/>
    <w:rsid w:val="00115D02"/>
    <w:rsid w:val="00116E28"/>
    <w:rsid w:val="00131D17"/>
    <w:rsid w:val="00140628"/>
    <w:rsid w:val="001737AC"/>
    <w:rsid w:val="00195B79"/>
    <w:rsid w:val="00196880"/>
    <w:rsid w:val="001A3893"/>
    <w:rsid w:val="001C0522"/>
    <w:rsid w:val="001D1555"/>
    <w:rsid w:val="001D2EBB"/>
    <w:rsid w:val="001D521C"/>
    <w:rsid w:val="001E1C8A"/>
    <w:rsid w:val="001F31CE"/>
    <w:rsid w:val="00220A90"/>
    <w:rsid w:val="00230887"/>
    <w:rsid w:val="0024340B"/>
    <w:rsid w:val="002450E4"/>
    <w:rsid w:val="00245295"/>
    <w:rsid w:val="002453E0"/>
    <w:rsid w:val="00245FF6"/>
    <w:rsid w:val="002466F7"/>
    <w:rsid w:val="00251FFA"/>
    <w:rsid w:val="002638B8"/>
    <w:rsid w:val="00267A3F"/>
    <w:rsid w:val="00270AA0"/>
    <w:rsid w:val="00272C93"/>
    <w:rsid w:val="002828D3"/>
    <w:rsid w:val="00282DC6"/>
    <w:rsid w:val="00285D92"/>
    <w:rsid w:val="00296863"/>
    <w:rsid w:val="002B07DF"/>
    <w:rsid w:val="002B3177"/>
    <w:rsid w:val="002B597C"/>
    <w:rsid w:val="002C4E9E"/>
    <w:rsid w:val="002C61C6"/>
    <w:rsid w:val="002D066B"/>
    <w:rsid w:val="002D41C0"/>
    <w:rsid w:val="002D5CCE"/>
    <w:rsid w:val="002E3B1F"/>
    <w:rsid w:val="0030105A"/>
    <w:rsid w:val="00312122"/>
    <w:rsid w:val="003130F0"/>
    <w:rsid w:val="00330251"/>
    <w:rsid w:val="003326E9"/>
    <w:rsid w:val="00350AF1"/>
    <w:rsid w:val="00361A7E"/>
    <w:rsid w:val="00365D1C"/>
    <w:rsid w:val="00377256"/>
    <w:rsid w:val="00382DE5"/>
    <w:rsid w:val="0038727C"/>
    <w:rsid w:val="00391387"/>
    <w:rsid w:val="003A089B"/>
    <w:rsid w:val="003B590C"/>
    <w:rsid w:val="003C5192"/>
    <w:rsid w:val="003C5446"/>
    <w:rsid w:val="003C7D90"/>
    <w:rsid w:val="003D1B0E"/>
    <w:rsid w:val="003D41A5"/>
    <w:rsid w:val="003F58C7"/>
    <w:rsid w:val="00407C29"/>
    <w:rsid w:val="0041792D"/>
    <w:rsid w:val="00434345"/>
    <w:rsid w:val="004357CF"/>
    <w:rsid w:val="00463096"/>
    <w:rsid w:val="00465086"/>
    <w:rsid w:val="004A50D0"/>
    <w:rsid w:val="004A711A"/>
    <w:rsid w:val="004B763D"/>
    <w:rsid w:val="004D49E2"/>
    <w:rsid w:val="005006AC"/>
    <w:rsid w:val="00501D73"/>
    <w:rsid w:val="00506ACF"/>
    <w:rsid w:val="00510215"/>
    <w:rsid w:val="0051148B"/>
    <w:rsid w:val="00511B6C"/>
    <w:rsid w:val="00522007"/>
    <w:rsid w:val="00524720"/>
    <w:rsid w:val="00527289"/>
    <w:rsid w:val="00533698"/>
    <w:rsid w:val="00540A54"/>
    <w:rsid w:val="00546FF2"/>
    <w:rsid w:val="0055433E"/>
    <w:rsid w:val="00556741"/>
    <w:rsid w:val="0056284A"/>
    <w:rsid w:val="00573CEC"/>
    <w:rsid w:val="005959DD"/>
    <w:rsid w:val="005975BF"/>
    <w:rsid w:val="00597D4A"/>
    <w:rsid w:val="005A39C3"/>
    <w:rsid w:val="005A5D91"/>
    <w:rsid w:val="005A7315"/>
    <w:rsid w:val="005B0445"/>
    <w:rsid w:val="005B4254"/>
    <w:rsid w:val="005E03CF"/>
    <w:rsid w:val="005E2BA0"/>
    <w:rsid w:val="005E6AA1"/>
    <w:rsid w:val="005F30AF"/>
    <w:rsid w:val="005F3B6D"/>
    <w:rsid w:val="00600FAA"/>
    <w:rsid w:val="00602FEF"/>
    <w:rsid w:val="006033D8"/>
    <w:rsid w:val="00605BD0"/>
    <w:rsid w:val="00610DC5"/>
    <w:rsid w:val="006174B5"/>
    <w:rsid w:val="00630721"/>
    <w:rsid w:val="006328B3"/>
    <w:rsid w:val="0065223C"/>
    <w:rsid w:val="00652D90"/>
    <w:rsid w:val="00654901"/>
    <w:rsid w:val="00654C33"/>
    <w:rsid w:val="00662ADF"/>
    <w:rsid w:val="00685E42"/>
    <w:rsid w:val="006911EC"/>
    <w:rsid w:val="006A61FD"/>
    <w:rsid w:val="006B0121"/>
    <w:rsid w:val="006D39A6"/>
    <w:rsid w:val="006E4C54"/>
    <w:rsid w:val="006E5196"/>
    <w:rsid w:val="006F447C"/>
    <w:rsid w:val="007124C1"/>
    <w:rsid w:val="007156D9"/>
    <w:rsid w:val="00725132"/>
    <w:rsid w:val="0074422A"/>
    <w:rsid w:val="00751A22"/>
    <w:rsid w:val="0075429B"/>
    <w:rsid w:val="007603B8"/>
    <w:rsid w:val="0076048B"/>
    <w:rsid w:val="00760E69"/>
    <w:rsid w:val="00765C53"/>
    <w:rsid w:val="007666A0"/>
    <w:rsid w:val="00784817"/>
    <w:rsid w:val="007955C9"/>
    <w:rsid w:val="007B07BA"/>
    <w:rsid w:val="007B7F33"/>
    <w:rsid w:val="007C27E0"/>
    <w:rsid w:val="007C3A50"/>
    <w:rsid w:val="007D7C5B"/>
    <w:rsid w:val="007E441F"/>
    <w:rsid w:val="007E7FB9"/>
    <w:rsid w:val="007F1D8D"/>
    <w:rsid w:val="00801FE3"/>
    <w:rsid w:val="00807C5E"/>
    <w:rsid w:val="00822B18"/>
    <w:rsid w:val="00833C79"/>
    <w:rsid w:val="008352E4"/>
    <w:rsid w:val="00845FBD"/>
    <w:rsid w:val="0085052C"/>
    <w:rsid w:val="00851B4D"/>
    <w:rsid w:val="00856D90"/>
    <w:rsid w:val="00860178"/>
    <w:rsid w:val="0087108C"/>
    <w:rsid w:val="0087766B"/>
    <w:rsid w:val="008841FD"/>
    <w:rsid w:val="00886A19"/>
    <w:rsid w:val="0089129A"/>
    <w:rsid w:val="0089140D"/>
    <w:rsid w:val="008973FD"/>
    <w:rsid w:val="008B56E6"/>
    <w:rsid w:val="008D41C6"/>
    <w:rsid w:val="008E421C"/>
    <w:rsid w:val="008F1610"/>
    <w:rsid w:val="008F1BAE"/>
    <w:rsid w:val="00904E0F"/>
    <w:rsid w:val="00904F3D"/>
    <w:rsid w:val="00907848"/>
    <w:rsid w:val="00920A22"/>
    <w:rsid w:val="00924F82"/>
    <w:rsid w:val="00930BB6"/>
    <w:rsid w:val="009311DC"/>
    <w:rsid w:val="00935188"/>
    <w:rsid w:val="00940C95"/>
    <w:rsid w:val="00943744"/>
    <w:rsid w:val="00950DAA"/>
    <w:rsid w:val="0095103C"/>
    <w:rsid w:val="009606E9"/>
    <w:rsid w:val="0097773B"/>
    <w:rsid w:val="00983202"/>
    <w:rsid w:val="009A2EF2"/>
    <w:rsid w:val="009B74D7"/>
    <w:rsid w:val="009C1579"/>
    <w:rsid w:val="009C2BBB"/>
    <w:rsid w:val="009D4781"/>
    <w:rsid w:val="009D5FA1"/>
    <w:rsid w:val="009E5844"/>
    <w:rsid w:val="009E68B5"/>
    <w:rsid w:val="009E6B23"/>
    <w:rsid w:val="009E7C1F"/>
    <w:rsid w:val="00A00A20"/>
    <w:rsid w:val="00A00E53"/>
    <w:rsid w:val="00A03EA2"/>
    <w:rsid w:val="00A048B6"/>
    <w:rsid w:val="00A110A7"/>
    <w:rsid w:val="00A12308"/>
    <w:rsid w:val="00A155F8"/>
    <w:rsid w:val="00A34E82"/>
    <w:rsid w:val="00A44D71"/>
    <w:rsid w:val="00A456B3"/>
    <w:rsid w:val="00A9654B"/>
    <w:rsid w:val="00A96BA4"/>
    <w:rsid w:val="00AD6AA4"/>
    <w:rsid w:val="00AE056A"/>
    <w:rsid w:val="00AE7FD3"/>
    <w:rsid w:val="00B12423"/>
    <w:rsid w:val="00B43AE2"/>
    <w:rsid w:val="00B50AEA"/>
    <w:rsid w:val="00B7306A"/>
    <w:rsid w:val="00B7667D"/>
    <w:rsid w:val="00B8069E"/>
    <w:rsid w:val="00B83DD8"/>
    <w:rsid w:val="00B84F39"/>
    <w:rsid w:val="00B85A69"/>
    <w:rsid w:val="00B866B0"/>
    <w:rsid w:val="00B87582"/>
    <w:rsid w:val="00BA1F04"/>
    <w:rsid w:val="00BA4FDE"/>
    <w:rsid w:val="00BA593A"/>
    <w:rsid w:val="00BA6882"/>
    <w:rsid w:val="00BA75E4"/>
    <w:rsid w:val="00BA7CA7"/>
    <w:rsid w:val="00BB3848"/>
    <w:rsid w:val="00BB7221"/>
    <w:rsid w:val="00BC26DC"/>
    <w:rsid w:val="00BC74C8"/>
    <w:rsid w:val="00BE5191"/>
    <w:rsid w:val="00BE6F95"/>
    <w:rsid w:val="00C0171A"/>
    <w:rsid w:val="00C017D4"/>
    <w:rsid w:val="00C02424"/>
    <w:rsid w:val="00C02F72"/>
    <w:rsid w:val="00C164FC"/>
    <w:rsid w:val="00C304E4"/>
    <w:rsid w:val="00C40E53"/>
    <w:rsid w:val="00C44DE0"/>
    <w:rsid w:val="00C45E5B"/>
    <w:rsid w:val="00C6087C"/>
    <w:rsid w:val="00C64E8D"/>
    <w:rsid w:val="00C66D01"/>
    <w:rsid w:val="00C72872"/>
    <w:rsid w:val="00C7363D"/>
    <w:rsid w:val="00C7461A"/>
    <w:rsid w:val="00C852E2"/>
    <w:rsid w:val="00C955CE"/>
    <w:rsid w:val="00C9600C"/>
    <w:rsid w:val="00CA54E4"/>
    <w:rsid w:val="00CB3257"/>
    <w:rsid w:val="00CC30D5"/>
    <w:rsid w:val="00CD4AAB"/>
    <w:rsid w:val="00CE4132"/>
    <w:rsid w:val="00CE7DC0"/>
    <w:rsid w:val="00CF05C4"/>
    <w:rsid w:val="00CF0A59"/>
    <w:rsid w:val="00D030F8"/>
    <w:rsid w:val="00D3329E"/>
    <w:rsid w:val="00D425D3"/>
    <w:rsid w:val="00D43623"/>
    <w:rsid w:val="00D511A0"/>
    <w:rsid w:val="00D549C4"/>
    <w:rsid w:val="00D55D35"/>
    <w:rsid w:val="00D962EC"/>
    <w:rsid w:val="00DA1DB6"/>
    <w:rsid w:val="00DB11ED"/>
    <w:rsid w:val="00DB2555"/>
    <w:rsid w:val="00DB54CE"/>
    <w:rsid w:val="00DC0A97"/>
    <w:rsid w:val="00DD4BF7"/>
    <w:rsid w:val="00DD5D22"/>
    <w:rsid w:val="00DE1A8B"/>
    <w:rsid w:val="00DE64FE"/>
    <w:rsid w:val="00DF5BB9"/>
    <w:rsid w:val="00DF6353"/>
    <w:rsid w:val="00E04699"/>
    <w:rsid w:val="00E12557"/>
    <w:rsid w:val="00E45FCB"/>
    <w:rsid w:val="00E73E16"/>
    <w:rsid w:val="00E76287"/>
    <w:rsid w:val="00E910E3"/>
    <w:rsid w:val="00EA44D9"/>
    <w:rsid w:val="00EA62F8"/>
    <w:rsid w:val="00EE3CF3"/>
    <w:rsid w:val="00EE55B0"/>
    <w:rsid w:val="00EF0772"/>
    <w:rsid w:val="00EF32F2"/>
    <w:rsid w:val="00EF7631"/>
    <w:rsid w:val="00F000A8"/>
    <w:rsid w:val="00F13A0D"/>
    <w:rsid w:val="00F1632C"/>
    <w:rsid w:val="00F22D40"/>
    <w:rsid w:val="00F274FA"/>
    <w:rsid w:val="00F27CC4"/>
    <w:rsid w:val="00F4796D"/>
    <w:rsid w:val="00F57AF2"/>
    <w:rsid w:val="00F61B5C"/>
    <w:rsid w:val="00F71F04"/>
    <w:rsid w:val="00F769DF"/>
    <w:rsid w:val="00F857AA"/>
    <w:rsid w:val="00F9393A"/>
    <w:rsid w:val="00FA02B5"/>
    <w:rsid w:val="00FA2205"/>
    <w:rsid w:val="00FA5E56"/>
    <w:rsid w:val="00FB6BC9"/>
    <w:rsid w:val="00FC0EDD"/>
    <w:rsid w:val="00FD4B37"/>
    <w:rsid w:val="00FD4E0C"/>
    <w:rsid w:val="00FD5047"/>
    <w:rsid w:val="00FE0F58"/>
    <w:rsid w:val="00FF5D8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C41BAC74-21F2-4198-8DAC-E4B8276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6E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3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3D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3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6033D8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D8"/>
    <w:rPr>
      <w:rFonts w:ascii="Segoe UI" w:eastAsia="Cambria" w:hAnsi="Segoe UI" w:cs="Segoe UI"/>
      <w:sz w:val="18"/>
      <w:szCs w:val="18"/>
    </w:rPr>
  </w:style>
  <w:style w:type="paragraph" w:customStyle="1" w:styleId="CharChar1">
    <w:name w:val="Char Char1"/>
    <w:basedOn w:val="Normal"/>
    <w:rsid w:val="00807C5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aliases w:val="Strip,H&amp;P List Paragraph,Normal bullet 2,Bullet list,2,Virsraksti,Saraksta rindkopa"/>
    <w:basedOn w:val="Normal"/>
    <w:link w:val="ListParagraphChar"/>
    <w:uiPriority w:val="34"/>
    <w:qFormat/>
    <w:rsid w:val="008F1BAE"/>
    <w:pPr>
      <w:ind w:left="720"/>
      <w:contextualSpacing/>
    </w:pPr>
  </w:style>
  <w:style w:type="paragraph" w:customStyle="1" w:styleId="CharChar2">
    <w:name w:val="Char Char2"/>
    <w:basedOn w:val="Normal"/>
    <w:rsid w:val="00540A5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rsid w:val="00630721"/>
    <w:rPr>
      <w:color w:val="0000FF"/>
      <w:u w:val="single"/>
    </w:rPr>
  </w:style>
  <w:style w:type="paragraph" w:styleId="BodyText">
    <w:name w:val="Body Text"/>
    <w:basedOn w:val="Normal"/>
    <w:link w:val="BodyTextChar"/>
    <w:rsid w:val="0038727C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8727C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10">
    <w:name w:val="Char Char1"/>
    <w:basedOn w:val="Normal"/>
    <w:rsid w:val="00EF7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5A7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5A7315"/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paragraph" w:customStyle="1" w:styleId="naisf">
    <w:name w:val="naisf"/>
    <w:basedOn w:val="Normal"/>
    <w:link w:val="naisfChar"/>
    <w:qFormat/>
    <w:rsid w:val="005A7315"/>
    <w:pPr>
      <w:spacing w:before="100" w:after="10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naisfChar">
    <w:name w:val="naisf Char"/>
    <w:link w:val="naisf"/>
    <w:qFormat/>
    <w:locked/>
    <w:rsid w:val="005A731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aliases w:val="Strip Char1,H&amp;P List Paragraph Char1,Normal bullet 2 Char1,Bullet list Char1,2 Char1,Virsraksti Char,Saraksta rindkopa Char"/>
    <w:link w:val="ListParagraph"/>
    <w:uiPriority w:val="34"/>
    <w:locked/>
    <w:rsid w:val="005A7315"/>
    <w:rPr>
      <w:rFonts w:ascii="Cambria" w:eastAsia="Cambria" w:hAnsi="Cambria" w:cs="Times New Roman"/>
      <w:sz w:val="24"/>
      <w:szCs w:val="24"/>
    </w:rPr>
  </w:style>
  <w:style w:type="paragraph" w:customStyle="1" w:styleId="RakstzRakstz4">
    <w:name w:val="Rakstz. Rakstz.4"/>
    <w:basedOn w:val="Normal"/>
    <w:rsid w:val="0072513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1">
    <w:name w:val="Char Char1"/>
    <w:basedOn w:val="Normal"/>
    <w:rsid w:val="00BA593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2">
    <w:name w:val="List Paragraph Char2"/>
    <w:aliases w:val="Strip Char,H&amp;P List Paragraph Char,Normal bullet 2 Char,Bullet list Char,2 Char,Virsraksti Char1"/>
    <w:uiPriority w:val="34"/>
    <w:locked/>
    <w:rsid w:val="000F215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177B7"/>
    <w:pPr>
      <w:spacing w:after="120"/>
      <w:ind w:left="283"/>
    </w:pPr>
    <w:rPr>
      <w:rFonts w:ascii="Times New Roman" w:eastAsia="Times New Roman" w:hAnsi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77B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6124</Words>
  <Characters>3491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Kikors</dc:creator>
  <cp:lastModifiedBy>Antra </cp:lastModifiedBy>
  <cp:revision>7</cp:revision>
  <cp:lastPrinted>2018-02-21T13:46:00Z</cp:lastPrinted>
  <dcterms:created xsi:type="dcterms:W3CDTF">2018-02-21T14:26:00Z</dcterms:created>
  <dcterms:modified xsi:type="dcterms:W3CDTF">2018-02-21T14:32:00Z</dcterms:modified>
</cp:coreProperties>
</file>