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F1579" w:rsidRDefault="009F1579" w:rsidP="00E9337A">
      <w:pPr>
        <w:spacing w:before="240"/>
        <w:jc w:val="right"/>
        <w:rPr>
          <w:rFonts w:ascii="Times New Roman" w:hAnsi="Times New Roman"/>
          <w:b/>
        </w:rPr>
      </w:pPr>
      <w:r>
        <w:rPr>
          <w:rFonts w:ascii="Times New Roman" w:hAnsi="Times New Roman"/>
          <w:b/>
        </w:rPr>
        <w:t>NORAKSTS</w:t>
      </w:r>
    </w:p>
    <w:p w:rsidR="008F1BAE" w:rsidRPr="00365D1C" w:rsidRDefault="00391387" w:rsidP="000101B3">
      <w:pPr>
        <w:jc w:val="center"/>
        <w:rPr>
          <w:rFonts w:ascii="Times New Roman" w:hAnsi="Times New Roman"/>
          <w:b/>
        </w:rPr>
      </w:pPr>
      <w:r w:rsidRPr="00365D1C">
        <w:rPr>
          <w:rFonts w:ascii="Times New Roman" w:hAnsi="Times New Roman"/>
          <w:b/>
        </w:rPr>
        <w:t>LĒMUMS</w:t>
      </w:r>
    </w:p>
    <w:p w:rsidR="008F1BAE" w:rsidRPr="00365D1C" w:rsidRDefault="008F1BAE" w:rsidP="000101B3">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265D84" w:rsidRDefault="00391387" w:rsidP="000101B3">
      <w:pPr>
        <w:jc w:val="center"/>
        <w:rPr>
          <w:rFonts w:ascii="Times New Roman" w:hAnsi="Times New Roman"/>
        </w:rPr>
      </w:pPr>
      <w:r w:rsidRPr="00265D84">
        <w:rPr>
          <w:rFonts w:ascii="Times New Roman" w:hAnsi="Times New Roman"/>
        </w:rPr>
        <w:t xml:space="preserve">Publisko iepirkumu likuma </w:t>
      </w:r>
      <w:r w:rsidR="00EF4CAE" w:rsidRPr="00265D84">
        <w:rPr>
          <w:rFonts w:ascii="Times New Roman" w:hAnsi="Times New Roman"/>
        </w:rPr>
        <w:t>9.</w:t>
      </w:r>
      <w:r w:rsidRPr="00265D84">
        <w:rPr>
          <w:rFonts w:ascii="Times New Roman" w:hAnsi="Times New Roman"/>
        </w:rPr>
        <w:t xml:space="preserve"> panta kārtībā veiktajā iepirkumā</w:t>
      </w:r>
    </w:p>
    <w:p w:rsidR="00A94B8B" w:rsidRPr="00265D84" w:rsidRDefault="000101B3" w:rsidP="00A94B8B">
      <w:pPr>
        <w:pStyle w:val="BodyTextIndent"/>
        <w:spacing w:after="0"/>
        <w:ind w:left="0"/>
        <w:jc w:val="center"/>
        <w:rPr>
          <w:rFonts w:ascii="Times New Roman" w:hAnsi="Times New Roman"/>
          <w:b/>
        </w:rPr>
      </w:pPr>
      <w:r w:rsidRPr="00265D84">
        <w:rPr>
          <w:rFonts w:ascii="Times New Roman" w:hAnsi="Times New Roman"/>
          <w:b/>
          <w:bCs/>
          <w:iCs/>
          <w:lang w:eastAsia="lv-LV"/>
        </w:rPr>
        <w:t>“</w:t>
      </w:r>
      <w:r w:rsidR="005B5214">
        <w:rPr>
          <w:rFonts w:ascii="Times New Roman" w:eastAsia="Calibri" w:hAnsi="Times New Roman"/>
          <w:b/>
          <w:bCs/>
          <w:iCs/>
          <w:lang w:eastAsia="lv-LV"/>
        </w:rPr>
        <w:t>LU autotrans</w:t>
      </w:r>
      <w:r w:rsidR="00265D84" w:rsidRPr="00265D84">
        <w:rPr>
          <w:rFonts w:ascii="Times New Roman" w:eastAsia="Calibri" w:hAnsi="Times New Roman"/>
          <w:b/>
          <w:bCs/>
          <w:iCs/>
          <w:lang w:eastAsia="lv-LV"/>
        </w:rPr>
        <w:t>porta remonta un tehniskās apkopes pakalpojumi</w:t>
      </w:r>
      <w:r w:rsidRPr="00265D84">
        <w:rPr>
          <w:rFonts w:ascii="Times New Roman" w:hAnsi="Times New Roman"/>
          <w:b/>
        </w:rPr>
        <w:t>”</w:t>
      </w:r>
    </w:p>
    <w:p w:rsidR="003326E9" w:rsidRPr="00265D84" w:rsidRDefault="000101B3" w:rsidP="00A94B8B">
      <w:pPr>
        <w:pStyle w:val="BodyTextIndent"/>
        <w:spacing w:after="0"/>
        <w:ind w:left="0"/>
        <w:jc w:val="center"/>
        <w:rPr>
          <w:rFonts w:ascii="Times New Roman" w:hAnsi="Times New Roman"/>
        </w:rPr>
      </w:pPr>
      <w:r w:rsidRPr="00265D84">
        <w:rPr>
          <w:rFonts w:ascii="Times New Roman" w:hAnsi="Times New Roman"/>
          <w:b/>
        </w:rPr>
        <w:t xml:space="preserve"> </w:t>
      </w:r>
      <w:r w:rsidR="00540A54" w:rsidRPr="00265D84">
        <w:rPr>
          <w:rFonts w:ascii="Times New Roman" w:hAnsi="Times New Roman"/>
          <w:b/>
        </w:rPr>
        <w:t>Iepirkuma identifikācijas Nr.</w:t>
      </w:r>
      <w:r w:rsidR="00391387" w:rsidRPr="00265D84">
        <w:rPr>
          <w:rFonts w:ascii="Times New Roman" w:hAnsi="Times New Roman"/>
          <w:b/>
        </w:rPr>
        <w:t xml:space="preserve">: </w:t>
      </w:r>
      <w:r w:rsidR="00EF0772" w:rsidRPr="00265D84">
        <w:rPr>
          <w:rFonts w:ascii="Times New Roman" w:hAnsi="Times New Roman"/>
          <w:b/>
        </w:rPr>
        <w:t xml:space="preserve">LU </w:t>
      </w:r>
      <w:r w:rsidR="00DC658E" w:rsidRPr="00265D84">
        <w:rPr>
          <w:rFonts w:ascii="Times New Roman" w:hAnsi="Times New Roman"/>
          <w:b/>
          <w:bCs/>
        </w:rPr>
        <w:t>2017</w:t>
      </w:r>
      <w:r w:rsidR="00935188" w:rsidRPr="00265D84">
        <w:rPr>
          <w:rFonts w:ascii="Times New Roman" w:hAnsi="Times New Roman"/>
          <w:b/>
          <w:bCs/>
        </w:rPr>
        <w:t>/</w:t>
      </w:r>
      <w:r w:rsidR="00265D84">
        <w:rPr>
          <w:rFonts w:ascii="Times New Roman" w:hAnsi="Times New Roman"/>
          <w:b/>
          <w:bCs/>
        </w:rPr>
        <w:t>41</w:t>
      </w:r>
      <w:r w:rsidR="00935188" w:rsidRPr="00265D84">
        <w:rPr>
          <w:rFonts w:ascii="Times New Roman" w:hAnsi="Times New Roman"/>
          <w:b/>
          <w:bCs/>
        </w:rPr>
        <w:t>_I</w:t>
      </w:r>
    </w:p>
    <w:p w:rsidR="00EF0772" w:rsidRPr="00540A54" w:rsidRDefault="00EF0772" w:rsidP="00DC658E">
      <w:pPr>
        <w:jc w:val="center"/>
        <w:rPr>
          <w:rFonts w:ascii="Times New Roman" w:hAnsi="Times New Roman"/>
          <w:b/>
          <w:bCs/>
        </w:rPr>
      </w:pPr>
    </w:p>
    <w:p w:rsidR="00DB11ED" w:rsidRPr="002B597C" w:rsidRDefault="000B57B5" w:rsidP="00DC658E">
      <w:pPr>
        <w:jc w:val="both"/>
        <w:rPr>
          <w:rFonts w:ascii="Times New Roman" w:hAnsi="Times New Roman"/>
          <w:b/>
          <w:bCs/>
        </w:rPr>
      </w:pPr>
      <w:r w:rsidRPr="00A625DF">
        <w:rPr>
          <w:rFonts w:ascii="Times New Roman" w:hAnsi="Times New Roman"/>
          <w:b/>
          <w:bCs/>
        </w:rPr>
        <w:t>Rīgā</w:t>
      </w:r>
      <w:r w:rsidR="00B866B0" w:rsidRPr="00A625DF">
        <w:rPr>
          <w:rFonts w:ascii="Times New Roman" w:hAnsi="Times New Roman"/>
          <w:b/>
          <w:bCs/>
        </w:rPr>
        <w:t xml:space="preserve"> 201</w:t>
      </w:r>
      <w:r w:rsidR="00DC658E">
        <w:rPr>
          <w:rFonts w:ascii="Times New Roman" w:hAnsi="Times New Roman"/>
          <w:b/>
          <w:bCs/>
        </w:rPr>
        <w:t>7</w:t>
      </w:r>
      <w:r w:rsidRPr="00A625DF">
        <w:rPr>
          <w:rFonts w:ascii="Times New Roman" w:hAnsi="Times New Roman"/>
          <w:b/>
          <w:bCs/>
        </w:rPr>
        <w:t>.</w:t>
      </w:r>
      <w:r w:rsidR="00AE056A" w:rsidRPr="00B6580B">
        <w:rPr>
          <w:rFonts w:ascii="Times New Roman" w:hAnsi="Times New Roman"/>
          <w:b/>
          <w:bCs/>
        </w:rPr>
        <w:t xml:space="preserve">gada </w:t>
      </w:r>
      <w:r w:rsidR="00E01A21">
        <w:rPr>
          <w:rFonts w:ascii="Times New Roman" w:hAnsi="Times New Roman"/>
          <w:b/>
          <w:bCs/>
        </w:rPr>
        <w:t>1</w:t>
      </w:r>
      <w:r w:rsidR="00AA24F6">
        <w:rPr>
          <w:rFonts w:ascii="Times New Roman" w:hAnsi="Times New Roman"/>
          <w:b/>
          <w:bCs/>
        </w:rPr>
        <w:t>8.jū</w:t>
      </w:r>
      <w:r w:rsidR="00E01A21">
        <w:rPr>
          <w:rFonts w:ascii="Times New Roman" w:hAnsi="Times New Roman"/>
          <w:b/>
          <w:bCs/>
        </w:rPr>
        <w:t>lijā</w:t>
      </w:r>
    </w:p>
    <w:p w:rsidR="003326E9" w:rsidRPr="00C75759" w:rsidRDefault="003326E9" w:rsidP="007F1D8D">
      <w:pPr>
        <w:jc w:val="both"/>
        <w:rPr>
          <w:rFonts w:ascii="Times New Roman" w:hAnsi="Times New Roman"/>
          <w:bCs/>
        </w:rPr>
      </w:pPr>
    </w:p>
    <w:p w:rsidR="006401D2" w:rsidRPr="000957CA" w:rsidRDefault="006401D2" w:rsidP="006401D2">
      <w:pPr>
        <w:numPr>
          <w:ilvl w:val="0"/>
          <w:numId w:val="3"/>
        </w:numPr>
        <w:ind w:left="357" w:hanging="357"/>
        <w:jc w:val="both"/>
        <w:rPr>
          <w:rFonts w:ascii="Times New Roman" w:hAnsi="Times New Roman"/>
        </w:rPr>
      </w:pPr>
      <w:r w:rsidRPr="000957CA">
        <w:rPr>
          <w:rFonts w:ascii="Times New Roman" w:hAnsi="Times New Roman"/>
          <w:b/>
        </w:rPr>
        <w:t xml:space="preserve">Pasūtītāja nosaukums un adrese </w:t>
      </w:r>
      <w:r w:rsidRPr="000957CA">
        <w:rPr>
          <w:rFonts w:ascii="Times New Roman" w:hAnsi="Times New Roman"/>
        </w:rPr>
        <w:t>– Latvijas Universitāte, Raiņa bulvāris 19, Rīga, LV - 1586, Latvija.</w:t>
      </w:r>
    </w:p>
    <w:p w:rsidR="00584934" w:rsidRPr="00E233BC"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iepirkumu komisiju sastāviem” izveidota Latvijas Universitātes </w:t>
      </w:r>
      <w:r w:rsidR="00E01A21">
        <w:rPr>
          <w:rFonts w:ascii="Times New Roman" w:hAnsi="Times New Roman"/>
        </w:rPr>
        <w:t>Būvniecības un īpašumu apsaimniekošanas</w:t>
      </w:r>
      <w:r w:rsidR="000F2CC0">
        <w:rPr>
          <w:rFonts w:ascii="Times New Roman" w:hAnsi="Times New Roman"/>
        </w:rPr>
        <w:t xml:space="preserve"> </w:t>
      </w:r>
      <w:r w:rsidRPr="00334F94">
        <w:rPr>
          <w:rFonts w:ascii="Times New Roman" w:hAnsi="Times New Roman"/>
        </w:rPr>
        <w:t>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732CEA" w:rsidRDefault="003326E9" w:rsidP="00732CEA">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Iepirkuma priekšmets:</w:t>
      </w:r>
      <w:r w:rsidR="00DB11ED" w:rsidRPr="00E233BC">
        <w:rPr>
          <w:rFonts w:ascii="Times New Roman" w:eastAsia="Times New Roman" w:hAnsi="Times New Roman"/>
          <w:b/>
          <w:bCs/>
          <w:lang w:eastAsia="lv-LV"/>
        </w:rPr>
        <w:t xml:space="preserve"> </w:t>
      </w:r>
      <w:r w:rsidR="00E01A21" w:rsidRPr="00136832">
        <w:rPr>
          <w:rFonts w:ascii="Times New Roman" w:hAnsi="Times New Roman"/>
        </w:rPr>
        <w:t>LU autotransporta remonta u</w:t>
      </w:r>
      <w:r w:rsidR="00E01A21">
        <w:rPr>
          <w:rFonts w:ascii="Times New Roman" w:hAnsi="Times New Roman"/>
        </w:rPr>
        <w:t xml:space="preserve">n tehniskās apkopes pakalpojumi </w:t>
      </w:r>
      <w:r w:rsidR="00E01A21" w:rsidRPr="00136832">
        <w:rPr>
          <w:rFonts w:ascii="Times New Roman" w:hAnsi="Times New Roman"/>
        </w:rPr>
        <w:t>saskaņā ar</w:t>
      </w:r>
      <w:r w:rsidR="0006275F">
        <w:rPr>
          <w:rFonts w:ascii="Times New Roman" w:hAnsi="Times New Roman"/>
        </w:rPr>
        <w:t xml:space="preserve"> I</w:t>
      </w:r>
      <w:bookmarkStart w:id="0" w:name="_GoBack"/>
      <w:bookmarkEnd w:id="0"/>
      <w:r w:rsidR="00E01A21">
        <w:rPr>
          <w:rFonts w:ascii="Times New Roman" w:hAnsi="Times New Roman"/>
        </w:rPr>
        <w:t>epirkuma nolikuma</w:t>
      </w:r>
      <w:r w:rsidR="00E01A21" w:rsidRPr="00136832">
        <w:rPr>
          <w:rFonts w:ascii="Times New Roman" w:hAnsi="Times New Roman"/>
        </w:rPr>
        <w:t xml:space="preserve"> tehniskajā specifikācijā noteiktajām prasībām</w:t>
      </w:r>
      <w:r w:rsidR="00E01A21">
        <w:rPr>
          <w:rFonts w:ascii="Times New Roman" w:hAnsi="Times New Roman"/>
        </w:rPr>
        <w:t>.</w:t>
      </w:r>
    </w:p>
    <w:p w:rsidR="00732CEA" w:rsidRPr="00732CEA" w:rsidRDefault="00E9659C" w:rsidP="00732CEA">
      <w:pPr>
        <w:pStyle w:val="ListParagraph"/>
        <w:numPr>
          <w:ilvl w:val="0"/>
          <w:numId w:val="3"/>
        </w:numPr>
        <w:spacing w:line="276" w:lineRule="auto"/>
        <w:ind w:left="357" w:hanging="357"/>
        <w:jc w:val="both"/>
        <w:rPr>
          <w:rFonts w:ascii="Times New Roman" w:eastAsia="Times New Roman" w:hAnsi="Times New Roman"/>
          <w:bCs/>
          <w:lang w:eastAsia="lv-LV"/>
        </w:rPr>
      </w:pPr>
      <w:r w:rsidRPr="00732CEA">
        <w:rPr>
          <w:rFonts w:ascii="Times New Roman" w:eastAsia="Times New Roman" w:hAnsi="Times New Roman"/>
          <w:b/>
          <w:bCs/>
          <w:lang w:eastAsia="lv-LV"/>
        </w:rPr>
        <w:t>CPV nomenklatūras kods:</w:t>
      </w:r>
      <w:r w:rsidR="00732CEA" w:rsidRPr="00732CEA">
        <w:rPr>
          <w:rFonts w:ascii="Times New Roman" w:hAnsi="Times New Roman"/>
          <w:bCs/>
        </w:rPr>
        <w:t xml:space="preserve"> </w:t>
      </w:r>
      <w:hyperlink r:id="rId7" w:history="1">
        <w:r w:rsidR="002706E0" w:rsidRPr="002706E0">
          <w:rPr>
            <w:rStyle w:val="Hyperlink"/>
            <w:rFonts w:ascii="Times New Roman" w:hAnsi="Times New Roman"/>
            <w:color w:val="auto"/>
            <w:u w:val="none"/>
          </w:rPr>
          <w:t>50110000-9</w:t>
        </w:r>
      </w:hyperlink>
      <w:r w:rsidR="002706E0" w:rsidRPr="002706E0">
        <w:rPr>
          <w:rFonts w:ascii="Times New Roman" w:hAnsi="Times New Roman"/>
        </w:rPr>
        <w:t xml:space="preserve"> </w:t>
      </w:r>
      <w:r w:rsidR="002706E0">
        <w:rPr>
          <w:rFonts w:ascii="Times New Roman" w:hAnsi="Times New Roman"/>
        </w:rPr>
        <w:t>(Mehānisko t</w:t>
      </w:r>
      <w:r w:rsidR="002706E0" w:rsidRPr="001B4BFE">
        <w:rPr>
          <w:rFonts w:ascii="Times New Roman" w:hAnsi="Times New Roman"/>
        </w:rPr>
        <w:t xml:space="preserve">ransportlīdzekļu un ar </w:t>
      </w:r>
      <w:r w:rsidR="002706E0">
        <w:rPr>
          <w:rFonts w:ascii="Times New Roman" w:hAnsi="Times New Roman"/>
        </w:rPr>
        <w:t>tiem saistītā aprīkojuma remonta un</w:t>
      </w:r>
      <w:r w:rsidR="002706E0" w:rsidRPr="001B4BFE">
        <w:rPr>
          <w:rFonts w:ascii="Times New Roman" w:hAnsi="Times New Roman"/>
        </w:rPr>
        <w:t xml:space="preserve"> a</w:t>
      </w:r>
      <w:r w:rsidR="002706E0">
        <w:rPr>
          <w:rFonts w:ascii="Times New Roman" w:hAnsi="Times New Roman"/>
        </w:rPr>
        <w:t>pkopes pakalpojumi).</w:t>
      </w:r>
    </w:p>
    <w:p w:rsidR="00207651" w:rsidRPr="008F285B"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8F285B">
        <w:rPr>
          <w:rFonts w:ascii="Times New Roman" w:eastAsia="Times New Roman" w:hAnsi="Times New Roman"/>
          <w:b/>
          <w:bCs/>
          <w:lang w:eastAsia="lv-LV"/>
        </w:rPr>
        <w:t>Piedāvājuma izvēles kritērijs:</w:t>
      </w:r>
      <w:r w:rsidRPr="008F285B">
        <w:rPr>
          <w:rFonts w:ascii="Times New Roman" w:eastAsia="Times New Roman" w:hAnsi="Times New Roman"/>
          <w:bCs/>
          <w:lang w:eastAsia="lv-LV"/>
        </w:rPr>
        <w:t xml:space="preserve"> </w:t>
      </w:r>
      <w:r w:rsidR="002706E0" w:rsidRPr="00D4489D">
        <w:rPr>
          <w:rFonts w:ascii="Times New Roman" w:hAnsi="Times New Roman"/>
        </w:rPr>
        <w:t>saimnieciski visizdevīgākais piedāvājums.</w:t>
      </w:r>
    </w:p>
    <w:p w:rsidR="008F1BAE" w:rsidRPr="00334F94" w:rsidRDefault="003326E9" w:rsidP="00EC0813">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baseform" w:val="Paziņojums"/>
          <w:attr w:name="id" w:val="-1"/>
          <w:attr w:name="text" w:val="Paziņojums"/>
        </w:smartTagPr>
        <w:r w:rsidRPr="00334F94">
          <w:rPr>
            <w:rFonts w:ascii="Times New Roman" w:eastAsia="Times New Roman" w:hAnsi="Times New Roman"/>
            <w:b/>
            <w:bCs/>
            <w:lang w:eastAsia="lv-LV"/>
          </w:rPr>
          <w:t>Paziņojums</w:t>
        </w:r>
      </w:smartTag>
      <w:r w:rsidRPr="00334F94">
        <w:rPr>
          <w:rFonts w:ascii="Times New Roman" w:eastAsia="Times New Roman" w:hAnsi="Times New Roman"/>
          <w:b/>
          <w:bCs/>
          <w:lang w:eastAsia="lv-LV"/>
        </w:rPr>
        <w:t xml:space="preserve"> par plānoto </w:t>
      </w:r>
      <w:smartTag w:uri="schemas-tilde-lv/tildestengine" w:element="phone">
        <w:smartTagPr>
          <w:attr w:name="baseform" w:val="līgum|s"/>
          <w:attr w:name="id" w:val="-1"/>
          <w:attr w:name="text" w:val="līgumu"/>
        </w:smartTagPr>
        <w:r w:rsidRPr="00334F94">
          <w:rPr>
            <w:rFonts w:ascii="Times New Roman" w:eastAsia="Times New Roman" w:hAnsi="Times New Roman"/>
            <w:b/>
            <w:bCs/>
            <w:lang w:eastAsia="lv-LV"/>
          </w:rPr>
          <w:t>līgumu</w:t>
        </w:r>
      </w:smartTag>
      <w:r w:rsidRPr="00334F94">
        <w:rPr>
          <w:rFonts w:ascii="Times New Roman" w:eastAsia="Times New Roman" w:hAnsi="Times New Roman"/>
          <w:b/>
          <w:bCs/>
          <w:lang w:eastAsia="lv-LV"/>
        </w:rPr>
        <w:t xml:space="preserve"> publicēts </w:t>
      </w:r>
      <w:r w:rsidR="008F1BAE" w:rsidRPr="00334F94">
        <w:rPr>
          <w:rFonts w:ascii="Times New Roman" w:eastAsia="Times New Roman" w:hAnsi="Times New Roman"/>
          <w:b/>
          <w:bCs/>
          <w:lang w:eastAsia="lv-LV"/>
        </w:rPr>
        <w:t>Iepirkumu uzraudzības biroja mājaslapā</w:t>
      </w:r>
      <w:r w:rsidRPr="00334F94">
        <w:rPr>
          <w:rFonts w:ascii="Times New Roman" w:eastAsia="Times New Roman" w:hAnsi="Times New Roman"/>
          <w:b/>
          <w:bCs/>
          <w:lang w:eastAsia="lv-LV"/>
        </w:rPr>
        <w:t xml:space="preserve"> (</w:t>
      </w:r>
      <w:hyperlink r:id="rId8" w:history="1">
        <w:r w:rsidRPr="00334F94">
          <w:rPr>
            <w:rFonts w:ascii="Times New Roman" w:eastAsia="Times New Roman" w:hAnsi="Times New Roman"/>
            <w:b/>
            <w:bCs/>
            <w:color w:val="000000"/>
            <w:lang w:eastAsia="lv-LV"/>
          </w:rPr>
          <w:t>www.iub.gov.lv</w:t>
        </w:r>
      </w:hyperlink>
      <w:r w:rsidRPr="00334F94">
        <w:rPr>
          <w:rFonts w:ascii="Times New Roman" w:eastAsia="Times New Roman" w:hAnsi="Times New Roman"/>
          <w:b/>
          <w:bCs/>
          <w:lang w:eastAsia="lv-LV"/>
        </w:rPr>
        <w:t>):</w:t>
      </w:r>
      <w:r w:rsidR="00DB11ED" w:rsidRPr="00334F94">
        <w:rPr>
          <w:rFonts w:ascii="Times New Roman" w:eastAsia="Times New Roman" w:hAnsi="Times New Roman"/>
          <w:b/>
          <w:bCs/>
          <w:lang w:eastAsia="lv-LV"/>
        </w:rPr>
        <w:t xml:space="preserve"> </w:t>
      </w:r>
      <w:r w:rsidR="00890EF2" w:rsidRPr="00890EF2">
        <w:rPr>
          <w:rFonts w:ascii="Times New Roman" w:eastAsia="Times New Roman" w:hAnsi="Times New Roman"/>
          <w:bCs/>
          <w:lang w:eastAsia="lv-LV"/>
        </w:rPr>
        <w:t>2017.gada 19.maijā</w:t>
      </w:r>
    </w:p>
    <w:p w:rsidR="003326E9" w:rsidRPr="001F180F" w:rsidRDefault="003326E9" w:rsidP="00FF5453">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EB63DC">
        <w:rPr>
          <w:rFonts w:ascii="Times New Roman" w:eastAsia="Times New Roman" w:hAnsi="Times New Roman"/>
          <w:b/>
          <w:bCs/>
          <w:lang w:eastAsia="lv-LV"/>
        </w:rPr>
        <w:t>7</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1F180F">
        <w:rPr>
          <w:rFonts w:ascii="Times New Roman" w:eastAsia="Times New Roman" w:hAnsi="Times New Roman"/>
          <w:b/>
          <w:bCs/>
          <w:lang w:eastAsia="lv-LV"/>
        </w:rPr>
        <w:t>30.maija</w:t>
      </w:r>
      <w:r w:rsidR="00F769DF" w:rsidRPr="00334F94">
        <w:rPr>
          <w:rFonts w:ascii="Times New Roman" w:eastAsia="Times New Roman" w:hAnsi="Times New Roman"/>
          <w:b/>
          <w:bCs/>
          <w:lang w:eastAsia="lv-LV"/>
        </w:rPr>
        <w:t>, plkst.</w:t>
      </w:r>
      <w:r w:rsidR="00501D73" w:rsidRPr="00334F94">
        <w:rPr>
          <w:rFonts w:ascii="Times New Roman" w:eastAsia="Times New Roman" w:hAnsi="Times New Roman"/>
          <w:b/>
          <w:bCs/>
          <w:lang w:eastAsia="lv-LV"/>
        </w:rPr>
        <w:t>11</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233"/>
        <w:gridCol w:w="1577"/>
        <w:gridCol w:w="1524"/>
        <w:gridCol w:w="1705"/>
        <w:gridCol w:w="2126"/>
      </w:tblGrid>
      <w:tr w:rsidR="006E3ADA" w:rsidRPr="006E3ADA" w:rsidTr="006E3ADA">
        <w:tc>
          <w:tcPr>
            <w:tcW w:w="616" w:type="dxa"/>
            <w:vMerge w:val="restart"/>
            <w:tcBorders>
              <w:top w:val="single" w:sz="4" w:space="0" w:color="auto"/>
              <w:left w:val="single" w:sz="4" w:space="0" w:color="auto"/>
              <w:right w:val="single" w:sz="4" w:space="0" w:color="auto"/>
            </w:tcBorders>
            <w:vAlign w:val="center"/>
            <w:hideMark/>
          </w:tcPr>
          <w:p w:rsidR="006E3ADA" w:rsidRPr="006E3ADA" w:rsidRDefault="006E3ADA" w:rsidP="008419CD">
            <w:pPr>
              <w:jc w:val="center"/>
              <w:outlineLvl w:val="0"/>
              <w:rPr>
                <w:rFonts w:ascii="Times New Roman" w:hAnsi="Times New Roman"/>
                <w:b/>
              </w:rPr>
            </w:pPr>
            <w:r w:rsidRPr="006E3ADA">
              <w:rPr>
                <w:rFonts w:ascii="Times New Roman" w:hAnsi="Times New Roman"/>
                <w:b/>
              </w:rPr>
              <w:t>Nr. </w:t>
            </w:r>
          </w:p>
          <w:p w:rsidR="006E3ADA" w:rsidRPr="006E3ADA" w:rsidRDefault="006E3ADA" w:rsidP="008419CD">
            <w:pPr>
              <w:jc w:val="center"/>
              <w:outlineLvl w:val="0"/>
              <w:rPr>
                <w:rFonts w:ascii="Times New Roman" w:hAnsi="Times New Roman"/>
                <w:b/>
              </w:rPr>
            </w:pPr>
            <w:r w:rsidRPr="006E3ADA">
              <w:rPr>
                <w:rFonts w:ascii="Times New Roman" w:hAnsi="Times New Roman"/>
                <w:b/>
              </w:rPr>
              <w:t>p.k.</w:t>
            </w:r>
          </w:p>
        </w:tc>
        <w:tc>
          <w:tcPr>
            <w:tcW w:w="2233" w:type="dxa"/>
            <w:vMerge w:val="restart"/>
            <w:tcBorders>
              <w:top w:val="single" w:sz="4" w:space="0" w:color="auto"/>
              <w:left w:val="single" w:sz="4" w:space="0" w:color="auto"/>
              <w:right w:val="single" w:sz="4" w:space="0" w:color="auto"/>
            </w:tcBorders>
            <w:vAlign w:val="center"/>
            <w:hideMark/>
          </w:tcPr>
          <w:p w:rsidR="006E3ADA" w:rsidRPr="006E3ADA" w:rsidRDefault="006E3ADA" w:rsidP="008419CD">
            <w:pPr>
              <w:jc w:val="center"/>
              <w:rPr>
                <w:rFonts w:ascii="Times New Roman" w:hAnsi="Times New Roman"/>
                <w:b/>
              </w:rPr>
            </w:pPr>
            <w:r w:rsidRPr="006E3ADA">
              <w:rPr>
                <w:rFonts w:ascii="Times New Roman" w:hAnsi="Times New Roman"/>
                <w:b/>
              </w:rPr>
              <w:t xml:space="preserve">Pretendenti </w:t>
            </w:r>
          </w:p>
          <w:p w:rsidR="006E3ADA" w:rsidRPr="006E3ADA" w:rsidRDefault="006E3ADA" w:rsidP="008419CD">
            <w:pPr>
              <w:jc w:val="center"/>
              <w:rPr>
                <w:rFonts w:ascii="Times New Roman" w:hAnsi="Times New Roman"/>
                <w:b/>
              </w:rPr>
            </w:pPr>
            <w:r w:rsidRPr="006E3ADA">
              <w:rPr>
                <w:rFonts w:ascii="Times New Roman" w:hAnsi="Times New Roman"/>
                <w:b/>
              </w:rPr>
              <w:t>(nosaukums, reģ. Nr.)</w:t>
            </w:r>
          </w:p>
        </w:tc>
        <w:tc>
          <w:tcPr>
            <w:tcW w:w="1577" w:type="dxa"/>
            <w:vMerge w:val="restart"/>
            <w:tcBorders>
              <w:top w:val="single" w:sz="4" w:space="0" w:color="auto"/>
              <w:left w:val="single" w:sz="4" w:space="0" w:color="auto"/>
              <w:right w:val="single" w:sz="4" w:space="0" w:color="auto"/>
            </w:tcBorders>
            <w:vAlign w:val="center"/>
            <w:hideMark/>
          </w:tcPr>
          <w:p w:rsidR="006E3ADA" w:rsidRPr="006E3ADA" w:rsidRDefault="006E3ADA" w:rsidP="008419CD">
            <w:pPr>
              <w:jc w:val="center"/>
              <w:outlineLvl w:val="0"/>
              <w:rPr>
                <w:rFonts w:ascii="Times New Roman" w:hAnsi="Times New Roman"/>
                <w:b/>
                <w:highlight w:val="yellow"/>
              </w:rPr>
            </w:pPr>
            <w:r w:rsidRPr="006E3ADA">
              <w:rPr>
                <w:rFonts w:ascii="Times New Roman" w:hAnsi="Times New Roman"/>
                <w:b/>
              </w:rPr>
              <w:t>Piedāvājumu iesniegšanas laiks</w:t>
            </w:r>
          </w:p>
        </w:tc>
        <w:tc>
          <w:tcPr>
            <w:tcW w:w="3229" w:type="dxa"/>
            <w:gridSpan w:val="2"/>
            <w:tcBorders>
              <w:top w:val="single" w:sz="4" w:space="0" w:color="auto"/>
              <w:left w:val="single" w:sz="4" w:space="0" w:color="auto"/>
              <w:right w:val="single" w:sz="4" w:space="0" w:color="auto"/>
            </w:tcBorders>
            <w:vAlign w:val="center"/>
          </w:tcPr>
          <w:p w:rsidR="006E3ADA" w:rsidRPr="006E3ADA" w:rsidRDefault="006E3ADA" w:rsidP="008419CD">
            <w:pPr>
              <w:jc w:val="center"/>
              <w:outlineLvl w:val="0"/>
              <w:rPr>
                <w:rFonts w:ascii="Times New Roman" w:hAnsi="Times New Roman"/>
                <w:b/>
              </w:rPr>
            </w:pPr>
            <w:r w:rsidRPr="006E3ADA">
              <w:rPr>
                <w:rFonts w:ascii="Times New Roman" w:hAnsi="Times New Roman"/>
                <w:b/>
              </w:rPr>
              <w:t>Piedāvātā cena EUR bez PVN</w:t>
            </w:r>
          </w:p>
        </w:tc>
        <w:tc>
          <w:tcPr>
            <w:tcW w:w="2126" w:type="dxa"/>
            <w:vMerge w:val="restart"/>
            <w:tcBorders>
              <w:top w:val="single" w:sz="4" w:space="0" w:color="auto"/>
              <w:left w:val="single" w:sz="4" w:space="0" w:color="auto"/>
              <w:right w:val="single" w:sz="4" w:space="0" w:color="auto"/>
            </w:tcBorders>
          </w:tcPr>
          <w:p w:rsidR="006E3ADA" w:rsidRPr="006E3ADA" w:rsidRDefault="006E3ADA" w:rsidP="008419CD">
            <w:pPr>
              <w:jc w:val="center"/>
              <w:outlineLvl w:val="0"/>
              <w:rPr>
                <w:rFonts w:ascii="Times New Roman" w:hAnsi="Times New Roman"/>
                <w:b/>
              </w:rPr>
            </w:pPr>
            <w:r w:rsidRPr="006E3ADA">
              <w:rPr>
                <w:rFonts w:ascii="Times New Roman" w:hAnsi="Times New Roman"/>
                <w:b/>
              </w:rPr>
              <w:t>Autotransporta pieņemšanas laiks pakalpojuma sniegšanai autoservisā dienās</w:t>
            </w:r>
          </w:p>
        </w:tc>
      </w:tr>
      <w:tr w:rsidR="006E3ADA" w:rsidRPr="006E3ADA" w:rsidTr="006E3ADA">
        <w:tc>
          <w:tcPr>
            <w:tcW w:w="616" w:type="dxa"/>
            <w:vMerge/>
            <w:tcBorders>
              <w:left w:val="single" w:sz="4" w:space="0" w:color="auto"/>
              <w:right w:val="single" w:sz="4" w:space="0" w:color="auto"/>
            </w:tcBorders>
            <w:vAlign w:val="center"/>
          </w:tcPr>
          <w:p w:rsidR="006E3ADA" w:rsidRPr="006E3ADA" w:rsidRDefault="006E3ADA" w:rsidP="008419CD">
            <w:pPr>
              <w:jc w:val="center"/>
              <w:outlineLvl w:val="0"/>
              <w:rPr>
                <w:rFonts w:ascii="Times New Roman" w:hAnsi="Times New Roman"/>
                <w:b/>
              </w:rPr>
            </w:pPr>
          </w:p>
        </w:tc>
        <w:tc>
          <w:tcPr>
            <w:tcW w:w="2233" w:type="dxa"/>
            <w:vMerge/>
            <w:tcBorders>
              <w:left w:val="single" w:sz="4" w:space="0" w:color="auto"/>
              <w:right w:val="single" w:sz="4" w:space="0" w:color="auto"/>
            </w:tcBorders>
            <w:vAlign w:val="center"/>
          </w:tcPr>
          <w:p w:rsidR="006E3ADA" w:rsidRPr="006E3ADA" w:rsidRDefault="006E3ADA" w:rsidP="008419CD">
            <w:pPr>
              <w:jc w:val="center"/>
              <w:rPr>
                <w:rFonts w:ascii="Times New Roman" w:hAnsi="Times New Roman"/>
                <w:b/>
              </w:rPr>
            </w:pPr>
          </w:p>
        </w:tc>
        <w:tc>
          <w:tcPr>
            <w:tcW w:w="1577" w:type="dxa"/>
            <w:vMerge/>
            <w:tcBorders>
              <w:left w:val="single" w:sz="4" w:space="0" w:color="auto"/>
              <w:right w:val="single" w:sz="4" w:space="0" w:color="auto"/>
            </w:tcBorders>
            <w:vAlign w:val="center"/>
          </w:tcPr>
          <w:p w:rsidR="006E3ADA" w:rsidRPr="006E3ADA" w:rsidRDefault="006E3ADA" w:rsidP="008419CD">
            <w:pPr>
              <w:jc w:val="center"/>
              <w:outlineLvl w:val="0"/>
              <w:rPr>
                <w:rFonts w:ascii="Times New Roman" w:hAnsi="Times New Roman"/>
                <w:b/>
              </w:rPr>
            </w:pPr>
          </w:p>
        </w:tc>
        <w:tc>
          <w:tcPr>
            <w:tcW w:w="1524" w:type="dxa"/>
            <w:tcBorders>
              <w:top w:val="single" w:sz="4" w:space="0" w:color="auto"/>
              <w:left w:val="single" w:sz="4" w:space="0" w:color="auto"/>
              <w:right w:val="single" w:sz="4" w:space="0" w:color="auto"/>
            </w:tcBorders>
            <w:vAlign w:val="center"/>
          </w:tcPr>
          <w:p w:rsidR="006E3ADA" w:rsidRPr="006E3ADA" w:rsidRDefault="006E3ADA" w:rsidP="008419CD">
            <w:pPr>
              <w:jc w:val="center"/>
              <w:outlineLvl w:val="0"/>
              <w:rPr>
                <w:rFonts w:ascii="Times New Roman" w:hAnsi="Times New Roman"/>
                <w:b/>
              </w:rPr>
            </w:pPr>
            <w:r w:rsidRPr="006E3ADA">
              <w:rPr>
                <w:rFonts w:ascii="Times New Roman" w:hAnsi="Times New Roman"/>
                <w:b/>
              </w:rPr>
              <w:t>Biežāk veicamie remontdarbi</w:t>
            </w:r>
          </w:p>
        </w:tc>
        <w:tc>
          <w:tcPr>
            <w:tcW w:w="1705" w:type="dxa"/>
            <w:tcBorders>
              <w:top w:val="single" w:sz="4" w:space="0" w:color="auto"/>
              <w:left w:val="single" w:sz="4" w:space="0" w:color="auto"/>
              <w:right w:val="single" w:sz="4" w:space="0" w:color="auto"/>
            </w:tcBorders>
            <w:vAlign w:val="center"/>
          </w:tcPr>
          <w:p w:rsidR="006E3ADA" w:rsidRPr="006E3ADA" w:rsidRDefault="006E3ADA" w:rsidP="008419CD">
            <w:pPr>
              <w:jc w:val="center"/>
              <w:outlineLvl w:val="0"/>
              <w:rPr>
                <w:rFonts w:ascii="Times New Roman" w:hAnsi="Times New Roman"/>
                <w:b/>
              </w:rPr>
            </w:pPr>
            <w:r w:rsidRPr="006E3ADA">
              <w:rPr>
                <w:rFonts w:ascii="Times New Roman" w:hAnsi="Times New Roman"/>
                <w:b/>
              </w:rPr>
              <w:t>Retāk veicamie remontdarbi</w:t>
            </w:r>
          </w:p>
        </w:tc>
        <w:tc>
          <w:tcPr>
            <w:tcW w:w="2126" w:type="dxa"/>
            <w:vMerge/>
            <w:tcBorders>
              <w:left w:val="single" w:sz="4" w:space="0" w:color="auto"/>
              <w:right w:val="single" w:sz="4" w:space="0" w:color="auto"/>
            </w:tcBorders>
          </w:tcPr>
          <w:p w:rsidR="006E3ADA" w:rsidRPr="006E3ADA" w:rsidRDefault="006E3ADA" w:rsidP="008419CD">
            <w:pPr>
              <w:jc w:val="center"/>
              <w:outlineLvl w:val="0"/>
              <w:rPr>
                <w:rFonts w:ascii="Times New Roman" w:hAnsi="Times New Roman"/>
                <w:b/>
              </w:rPr>
            </w:pPr>
          </w:p>
        </w:tc>
      </w:tr>
      <w:tr w:rsidR="006E3ADA" w:rsidRPr="006E3ADA" w:rsidTr="006E3ADA">
        <w:tc>
          <w:tcPr>
            <w:tcW w:w="616" w:type="dxa"/>
            <w:tcBorders>
              <w:top w:val="single" w:sz="4" w:space="0" w:color="auto"/>
              <w:left w:val="single" w:sz="4" w:space="0" w:color="auto"/>
              <w:right w:val="single" w:sz="4" w:space="0" w:color="auto"/>
            </w:tcBorders>
            <w:vAlign w:val="center"/>
            <w:hideMark/>
          </w:tcPr>
          <w:p w:rsidR="006E3ADA" w:rsidRPr="006E3ADA" w:rsidRDefault="006E3ADA" w:rsidP="008419CD">
            <w:pPr>
              <w:spacing w:line="264" w:lineRule="auto"/>
              <w:jc w:val="center"/>
              <w:outlineLvl w:val="0"/>
              <w:rPr>
                <w:rFonts w:ascii="Times New Roman" w:hAnsi="Times New Roman"/>
                <w:b/>
              </w:rPr>
            </w:pPr>
            <w:r w:rsidRPr="006E3ADA">
              <w:rPr>
                <w:rFonts w:ascii="Times New Roman" w:hAnsi="Times New Roman"/>
                <w:b/>
              </w:rPr>
              <w:t>1.</w:t>
            </w:r>
          </w:p>
        </w:tc>
        <w:tc>
          <w:tcPr>
            <w:tcW w:w="2233" w:type="dxa"/>
            <w:tcBorders>
              <w:top w:val="single" w:sz="4" w:space="0" w:color="auto"/>
              <w:left w:val="single" w:sz="4" w:space="0" w:color="auto"/>
              <w:right w:val="single" w:sz="4" w:space="0" w:color="auto"/>
            </w:tcBorders>
            <w:vAlign w:val="center"/>
            <w:hideMark/>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SIA “MEGA RP”</w:t>
            </w:r>
          </w:p>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Reģ. Nr. 50103547701</w:t>
            </w:r>
          </w:p>
        </w:tc>
        <w:tc>
          <w:tcPr>
            <w:tcW w:w="1577" w:type="dxa"/>
            <w:tcBorders>
              <w:top w:val="single" w:sz="4" w:space="0" w:color="auto"/>
              <w:left w:val="single" w:sz="4" w:space="0" w:color="auto"/>
              <w:right w:val="single" w:sz="4" w:space="0" w:color="auto"/>
            </w:tcBorders>
            <w:vAlign w:val="center"/>
            <w:hideMark/>
          </w:tcPr>
          <w:p w:rsidR="006E3ADA" w:rsidRPr="006E3ADA" w:rsidRDefault="006E3ADA" w:rsidP="008419CD">
            <w:pPr>
              <w:spacing w:line="264" w:lineRule="auto"/>
              <w:jc w:val="center"/>
              <w:outlineLvl w:val="0"/>
              <w:rPr>
                <w:rFonts w:ascii="Times New Roman" w:hAnsi="Times New Roman"/>
                <w:b/>
              </w:rPr>
            </w:pPr>
            <w:r w:rsidRPr="006E3ADA">
              <w:rPr>
                <w:rFonts w:ascii="Times New Roman" w:hAnsi="Times New Roman"/>
                <w:b/>
              </w:rPr>
              <w:t>30.05.2017.</w:t>
            </w:r>
          </w:p>
          <w:p w:rsidR="006E3ADA" w:rsidRPr="006E3ADA" w:rsidRDefault="006E3ADA" w:rsidP="008419CD">
            <w:pPr>
              <w:spacing w:line="264" w:lineRule="auto"/>
              <w:jc w:val="center"/>
              <w:outlineLvl w:val="0"/>
              <w:rPr>
                <w:rFonts w:ascii="Times New Roman" w:hAnsi="Times New Roman"/>
              </w:rPr>
            </w:pPr>
            <w:r w:rsidRPr="006E3ADA">
              <w:rPr>
                <w:rFonts w:ascii="Times New Roman" w:hAnsi="Times New Roman"/>
                <w:b/>
              </w:rPr>
              <w:t>plkst.10:45</w:t>
            </w:r>
          </w:p>
        </w:tc>
        <w:tc>
          <w:tcPr>
            <w:tcW w:w="1524"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10 864,36 EUR</w:t>
            </w:r>
          </w:p>
        </w:tc>
        <w:tc>
          <w:tcPr>
            <w:tcW w:w="1705"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color w:val="000000"/>
                <w:sz w:val="22"/>
                <w:szCs w:val="22"/>
                <w:lang w:val="en-US"/>
              </w:rPr>
            </w:pPr>
            <w:r w:rsidRPr="006E3ADA">
              <w:rPr>
                <w:rFonts w:ascii="Times New Roman" w:hAnsi="Times New Roman"/>
                <w:b/>
              </w:rPr>
              <w:t>31 040,56 EUR</w:t>
            </w:r>
          </w:p>
        </w:tc>
        <w:tc>
          <w:tcPr>
            <w:tcW w:w="2126"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1 darba diena</w:t>
            </w:r>
          </w:p>
        </w:tc>
      </w:tr>
      <w:tr w:rsidR="006E3ADA" w:rsidRPr="006E3ADA" w:rsidTr="006E3ADA">
        <w:tc>
          <w:tcPr>
            <w:tcW w:w="616"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outlineLvl w:val="0"/>
              <w:rPr>
                <w:rFonts w:ascii="Times New Roman" w:hAnsi="Times New Roman"/>
                <w:b/>
              </w:rPr>
            </w:pPr>
            <w:r w:rsidRPr="006E3ADA">
              <w:rPr>
                <w:rFonts w:ascii="Times New Roman" w:hAnsi="Times New Roman"/>
                <w:b/>
              </w:rPr>
              <w:t>2.</w:t>
            </w:r>
          </w:p>
        </w:tc>
        <w:tc>
          <w:tcPr>
            <w:tcW w:w="2233"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SIA “Skanstes autocentrs”</w:t>
            </w:r>
          </w:p>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Reģ. Nr. 40203044743</w:t>
            </w:r>
          </w:p>
        </w:tc>
        <w:tc>
          <w:tcPr>
            <w:tcW w:w="1577"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outlineLvl w:val="0"/>
              <w:rPr>
                <w:rFonts w:ascii="Times New Roman" w:hAnsi="Times New Roman"/>
                <w:b/>
              </w:rPr>
            </w:pPr>
            <w:r w:rsidRPr="006E3ADA">
              <w:rPr>
                <w:rFonts w:ascii="Times New Roman" w:hAnsi="Times New Roman"/>
                <w:b/>
              </w:rPr>
              <w:t>30.05.2017.</w:t>
            </w:r>
          </w:p>
          <w:p w:rsidR="006E3ADA" w:rsidRPr="006E3ADA" w:rsidRDefault="006E3ADA" w:rsidP="008419CD">
            <w:pPr>
              <w:spacing w:line="264" w:lineRule="auto"/>
              <w:jc w:val="center"/>
              <w:outlineLvl w:val="0"/>
              <w:rPr>
                <w:rFonts w:ascii="Times New Roman" w:hAnsi="Times New Roman"/>
                <w:b/>
              </w:rPr>
            </w:pPr>
            <w:r w:rsidRPr="006E3ADA">
              <w:rPr>
                <w:rFonts w:ascii="Times New Roman" w:hAnsi="Times New Roman"/>
                <w:b/>
              </w:rPr>
              <w:t>plkst.10:49</w:t>
            </w:r>
          </w:p>
        </w:tc>
        <w:tc>
          <w:tcPr>
            <w:tcW w:w="1524"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19 796,90 EUR</w:t>
            </w:r>
          </w:p>
        </w:tc>
        <w:tc>
          <w:tcPr>
            <w:tcW w:w="1705"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44 930,00 EUR</w:t>
            </w:r>
          </w:p>
        </w:tc>
        <w:tc>
          <w:tcPr>
            <w:tcW w:w="2126" w:type="dxa"/>
            <w:tcBorders>
              <w:top w:val="single" w:sz="4" w:space="0" w:color="auto"/>
              <w:left w:val="single" w:sz="4" w:space="0" w:color="auto"/>
              <w:right w:val="single" w:sz="4" w:space="0" w:color="auto"/>
            </w:tcBorders>
            <w:vAlign w:val="center"/>
          </w:tcPr>
          <w:p w:rsidR="006E3ADA" w:rsidRPr="006E3ADA" w:rsidRDefault="006E3ADA" w:rsidP="008419CD">
            <w:pPr>
              <w:spacing w:line="264" w:lineRule="auto"/>
              <w:jc w:val="center"/>
              <w:rPr>
                <w:rFonts w:ascii="Times New Roman" w:hAnsi="Times New Roman"/>
                <w:b/>
              </w:rPr>
            </w:pPr>
            <w:r w:rsidRPr="006E3ADA">
              <w:rPr>
                <w:rFonts w:ascii="Times New Roman" w:hAnsi="Times New Roman"/>
                <w:b/>
              </w:rPr>
              <w:t>1 darba diena</w:t>
            </w:r>
          </w:p>
        </w:tc>
      </w:tr>
    </w:tbl>
    <w:p w:rsidR="00501D73" w:rsidRPr="00F31FD2" w:rsidRDefault="0029123B" w:rsidP="000067F3">
      <w:pPr>
        <w:pStyle w:val="ListParagraph"/>
        <w:numPr>
          <w:ilvl w:val="0"/>
          <w:numId w:val="3"/>
        </w:numPr>
        <w:spacing w:before="120" w:after="120" w:line="276" w:lineRule="auto"/>
        <w:ind w:left="357" w:hanging="357"/>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F31FD2">
        <w:rPr>
          <w:rFonts w:ascii="Times New Roman" w:eastAsia="Times New Roman" w:hAnsi="Times New Roman"/>
          <w:b/>
          <w:bCs/>
          <w:lang w:eastAsia="lv-LV"/>
        </w:rPr>
        <w:t>olikumā noteiktajām prasībām</w:t>
      </w:r>
      <w:r w:rsidR="002466F7" w:rsidRPr="00F31FD2">
        <w:rPr>
          <w:rFonts w:ascii="Times New Roman" w:eastAsia="Times New Roman" w:hAnsi="Times New Roman"/>
          <w:b/>
          <w:bCs/>
          <w:lang w:eastAsia="lv-LV"/>
        </w:rPr>
        <w:t xml:space="preserve"> un kritērijiem</w:t>
      </w:r>
      <w:r w:rsidR="003326E9" w:rsidRPr="00F31FD2">
        <w:rPr>
          <w:rFonts w:ascii="Times New Roman" w:eastAsia="Times New Roman" w:hAnsi="Times New Roman"/>
          <w:b/>
          <w:bCs/>
          <w:lang w:eastAsia="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80"/>
        <w:gridCol w:w="3700"/>
      </w:tblGrid>
      <w:tr w:rsidR="00557DBF" w:rsidRPr="00F31FD2" w:rsidTr="00D610E6">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557DBF" w:rsidRPr="00F31FD2" w:rsidRDefault="00557DBF" w:rsidP="00334F94">
            <w:pPr>
              <w:outlineLvl w:val="0"/>
              <w:rPr>
                <w:rFonts w:ascii="Times New Roman" w:hAnsi="Times New Roman"/>
                <w:b/>
              </w:rPr>
            </w:pPr>
            <w:r w:rsidRPr="00F31FD2">
              <w:rPr>
                <w:rFonts w:ascii="Times New Roman" w:hAnsi="Times New Roman"/>
                <w:b/>
              </w:rPr>
              <w:t>Nr.</w:t>
            </w:r>
            <w:r w:rsidR="00DC658E" w:rsidRPr="00F31FD2">
              <w:rPr>
                <w:rFonts w:ascii="Times New Roman" w:hAnsi="Times New Roman"/>
                <w:b/>
              </w:rPr>
              <w:t> </w:t>
            </w:r>
            <w:r w:rsidRPr="00F31FD2">
              <w:rPr>
                <w:rFonts w:ascii="Times New Roman" w:hAnsi="Times New Roman"/>
                <w:b/>
              </w:rPr>
              <w:t>p.k.</w:t>
            </w:r>
          </w:p>
        </w:tc>
        <w:tc>
          <w:tcPr>
            <w:tcW w:w="4380" w:type="dxa"/>
            <w:tcBorders>
              <w:top w:val="single" w:sz="4" w:space="0" w:color="auto"/>
              <w:left w:val="single" w:sz="4" w:space="0" w:color="auto"/>
              <w:bottom w:val="single" w:sz="4" w:space="0" w:color="auto"/>
              <w:right w:val="single" w:sz="4" w:space="0" w:color="auto"/>
            </w:tcBorders>
          </w:tcPr>
          <w:p w:rsidR="00557DBF" w:rsidRPr="00F31FD2" w:rsidRDefault="00557DBF" w:rsidP="0040143D">
            <w:pPr>
              <w:pStyle w:val="BodyText"/>
              <w:jc w:val="center"/>
              <w:rPr>
                <w:b/>
                <w:szCs w:val="24"/>
              </w:rPr>
            </w:pPr>
            <w:r w:rsidRPr="00F31FD2">
              <w:rPr>
                <w:b/>
                <w:szCs w:val="24"/>
              </w:rPr>
              <w:t xml:space="preserve">Pretendenti </w:t>
            </w:r>
          </w:p>
          <w:p w:rsidR="00557DBF" w:rsidRPr="00F31FD2" w:rsidRDefault="00557DBF" w:rsidP="0040143D">
            <w:pPr>
              <w:pStyle w:val="BodyText"/>
              <w:jc w:val="center"/>
              <w:rPr>
                <w:b/>
                <w:szCs w:val="24"/>
              </w:rPr>
            </w:pPr>
            <w:r w:rsidRPr="00F31FD2">
              <w:rPr>
                <w:b/>
                <w:szCs w:val="24"/>
              </w:rPr>
              <w:t>(nosaukums)</w:t>
            </w:r>
          </w:p>
        </w:tc>
        <w:tc>
          <w:tcPr>
            <w:tcW w:w="3700" w:type="dxa"/>
            <w:tcBorders>
              <w:top w:val="single" w:sz="4" w:space="0" w:color="auto"/>
              <w:left w:val="single" w:sz="4" w:space="0" w:color="auto"/>
              <w:bottom w:val="single" w:sz="4" w:space="0" w:color="auto"/>
              <w:right w:val="single" w:sz="4" w:space="0" w:color="auto"/>
            </w:tcBorders>
            <w:vAlign w:val="center"/>
          </w:tcPr>
          <w:p w:rsidR="00557DBF" w:rsidRPr="00F31FD2" w:rsidRDefault="00557DBF" w:rsidP="00334F94">
            <w:pPr>
              <w:spacing w:line="276" w:lineRule="auto"/>
              <w:jc w:val="center"/>
              <w:rPr>
                <w:rFonts w:ascii="Times New Roman" w:hAnsi="Times New Roman"/>
                <w:b/>
                <w:u w:val="single"/>
              </w:rPr>
            </w:pPr>
          </w:p>
          <w:p w:rsidR="00557DBF" w:rsidRPr="00F31FD2" w:rsidRDefault="00557DBF" w:rsidP="00334F94">
            <w:pPr>
              <w:spacing w:line="276" w:lineRule="auto"/>
              <w:jc w:val="center"/>
              <w:rPr>
                <w:rFonts w:ascii="Times New Roman" w:hAnsi="Times New Roman"/>
                <w:b/>
                <w:u w:val="single"/>
              </w:rPr>
            </w:pPr>
            <w:r w:rsidRPr="00F31FD2">
              <w:rPr>
                <w:rFonts w:ascii="Times New Roman" w:hAnsi="Times New Roman"/>
                <w:b/>
                <w:u w:val="single"/>
              </w:rPr>
              <w:t>atbilst vai neatbilst</w:t>
            </w:r>
          </w:p>
        </w:tc>
      </w:tr>
      <w:tr w:rsidR="00557DBF" w:rsidRPr="00F31FD2" w:rsidTr="00D610E6">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557DBF" w:rsidRPr="00F31FD2" w:rsidRDefault="00557DBF" w:rsidP="0040143D">
            <w:pPr>
              <w:jc w:val="center"/>
              <w:outlineLvl w:val="0"/>
              <w:rPr>
                <w:rFonts w:ascii="Times New Roman" w:hAnsi="Times New Roman"/>
                <w:b/>
              </w:rPr>
            </w:pPr>
            <w:r w:rsidRPr="00F31FD2">
              <w:rPr>
                <w:rFonts w:ascii="Times New Roman" w:hAnsi="Times New Roman"/>
                <w:b/>
              </w:rPr>
              <w:t>1.</w:t>
            </w:r>
          </w:p>
        </w:tc>
        <w:tc>
          <w:tcPr>
            <w:tcW w:w="4380" w:type="dxa"/>
            <w:tcBorders>
              <w:top w:val="single" w:sz="4" w:space="0" w:color="auto"/>
              <w:left w:val="single" w:sz="4" w:space="0" w:color="auto"/>
              <w:bottom w:val="single" w:sz="4" w:space="0" w:color="auto"/>
              <w:right w:val="single" w:sz="4" w:space="0" w:color="auto"/>
            </w:tcBorders>
          </w:tcPr>
          <w:p w:rsidR="005A757E" w:rsidRPr="006E3ADA" w:rsidRDefault="005A757E" w:rsidP="005A757E">
            <w:pPr>
              <w:spacing w:line="264" w:lineRule="auto"/>
              <w:jc w:val="center"/>
              <w:rPr>
                <w:rFonts w:ascii="Times New Roman" w:hAnsi="Times New Roman"/>
                <w:b/>
              </w:rPr>
            </w:pPr>
            <w:r w:rsidRPr="006E3ADA">
              <w:rPr>
                <w:rFonts w:ascii="Times New Roman" w:hAnsi="Times New Roman"/>
                <w:b/>
              </w:rPr>
              <w:t>SIA “MEGA RP”</w:t>
            </w:r>
          </w:p>
          <w:p w:rsidR="00557DBF" w:rsidRPr="00F31FD2" w:rsidRDefault="005A757E" w:rsidP="005A757E">
            <w:pPr>
              <w:pStyle w:val="BodyText"/>
              <w:jc w:val="center"/>
              <w:rPr>
                <w:b/>
                <w:szCs w:val="24"/>
              </w:rPr>
            </w:pPr>
            <w:r w:rsidRPr="006E3ADA">
              <w:rPr>
                <w:b/>
              </w:rPr>
              <w:t>Reģ. Nr. 50103547701</w:t>
            </w:r>
          </w:p>
        </w:tc>
        <w:tc>
          <w:tcPr>
            <w:tcW w:w="3700" w:type="dxa"/>
            <w:tcBorders>
              <w:top w:val="single" w:sz="4" w:space="0" w:color="auto"/>
              <w:left w:val="single" w:sz="4" w:space="0" w:color="auto"/>
              <w:bottom w:val="single" w:sz="4" w:space="0" w:color="auto"/>
              <w:right w:val="single" w:sz="4" w:space="0" w:color="auto"/>
            </w:tcBorders>
            <w:vAlign w:val="center"/>
          </w:tcPr>
          <w:p w:rsidR="00557DBF" w:rsidRPr="00F31FD2" w:rsidRDefault="00A625DF" w:rsidP="00334F94">
            <w:pPr>
              <w:jc w:val="center"/>
              <w:outlineLvl w:val="0"/>
              <w:rPr>
                <w:rFonts w:ascii="Times New Roman" w:hAnsi="Times New Roman"/>
                <w:b/>
              </w:rPr>
            </w:pPr>
            <w:r w:rsidRPr="00F31FD2">
              <w:rPr>
                <w:rFonts w:ascii="Times New Roman" w:hAnsi="Times New Roman"/>
                <w:b/>
              </w:rPr>
              <w:t>atbilst</w:t>
            </w:r>
          </w:p>
        </w:tc>
      </w:tr>
      <w:tr w:rsidR="001F180F" w:rsidRPr="00F31FD2" w:rsidTr="00D610E6">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1F180F" w:rsidRPr="00F31FD2" w:rsidRDefault="001F180F" w:rsidP="0040143D">
            <w:pPr>
              <w:jc w:val="center"/>
              <w:outlineLvl w:val="0"/>
              <w:rPr>
                <w:rFonts w:ascii="Times New Roman" w:hAnsi="Times New Roman"/>
                <w:b/>
              </w:rPr>
            </w:pPr>
            <w:r>
              <w:rPr>
                <w:rFonts w:ascii="Times New Roman" w:hAnsi="Times New Roman"/>
                <w:b/>
              </w:rPr>
              <w:t>2.</w:t>
            </w:r>
          </w:p>
        </w:tc>
        <w:tc>
          <w:tcPr>
            <w:tcW w:w="4380" w:type="dxa"/>
            <w:tcBorders>
              <w:top w:val="single" w:sz="4" w:space="0" w:color="auto"/>
              <w:left w:val="single" w:sz="4" w:space="0" w:color="auto"/>
              <w:bottom w:val="single" w:sz="4" w:space="0" w:color="auto"/>
              <w:right w:val="single" w:sz="4" w:space="0" w:color="auto"/>
            </w:tcBorders>
          </w:tcPr>
          <w:p w:rsidR="005A757E" w:rsidRPr="006E3ADA" w:rsidRDefault="005A757E" w:rsidP="005A757E">
            <w:pPr>
              <w:spacing w:line="264" w:lineRule="auto"/>
              <w:jc w:val="center"/>
              <w:rPr>
                <w:rFonts w:ascii="Times New Roman" w:hAnsi="Times New Roman"/>
                <w:b/>
              </w:rPr>
            </w:pPr>
            <w:r w:rsidRPr="006E3ADA">
              <w:rPr>
                <w:rFonts w:ascii="Times New Roman" w:hAnsi="Times New Roman"/>
                <w:b/>
              </w:rPr>
              <w:t>SIA “Skanstes autocentrs”</w:t>
            </w:r>
          </w:p>
          <w:p w:rsidR="001F180F" w:rsidRPr="00F31FD2" w:rsidRDefault="005A757E" w:rsidP="005A757E">
            <w:pPr>
              <w:pStyle w:val="BodyText"/>
              <w:jc w:val="center"/>
              <w:rPr>
                <w:b/>
                <w:szCs w:val="24"/>
              </w:rPr>
            </w:pPr>
            <w:r w:rsidRPr="006E3ADA">
              <w:rPr>
                <w:b/>
              </w:rPr>
              <w:t>Reģ. Nr. 40203044743</w:t>
            </w:r>
          </w:p>
        </w:tc>
        <w:tc>
          <w:tcPr>
            <w:tcW w:w="3700" w:type="dxa"/>
            <w:tcBorders>
              <w:top w:val="single" w:sz="4" w:space="0" w:color="auto"/>
              <w:left w:val="single" w:sz="4" w:space="0" w:color="auto"/>
              <w:bottom w:val="single" w:sz="4" w:space="0" w:color="auto"/>
              <w:right w:val="single" w:sz="4" w:space="0" w:color="auto"/>
            </w:tcBorders>
            <w:vAlign w:val="center"/>
          </w:tcPr>
          <w:p w:rsidR="001F180F" w:rsidRPr="00F31FD2" w:rsidRDefault="001F180F" w:rsidP="00334F94">
            <w:pPr>
              <w:jc w:val="center"/>
              <w:outlineLvl w:val="0"/>
              <w:rPr>
                <w:rFonts w:ascii="Times New Roman" w:hAnsi="Times New Roman"/>
                <w:b/>
              </w:rPr>
            </w:pPr>
            <w:r>
              <w:rPr>
                <w:rFonts w:ascii="Times New Roman" w:hAnsi="Times New Roman"/>
                <w:b/>
              </w:rPr>
              <w:t>atbilst</w:t>
            </w:r>
          </w:p>
        </w:tc>
      </w:tr>
    </w:tbl>
    <w:p w:rsidR="00807C5E" w:rsidRPr="00AA24F6" w:rsidRDefault="0003443F" w:rsidP="00D0756F">
      <w:pPr>
        <w:pStyle w:val="ListParagraph"/>
        <w:numPr>
          <w:ilvl w:val="0"/>
          <w:numId w:val="3"/>
        </w:numPr>
        <w:spacing w:before="240"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p>
    <w:p w:rsidR="0033563B" w:rsidRDefault="00AA24F6" w:rsidP="0033563B">
      <w:pPr>
        <w:pStyle w:val="ListParagraph"/>
        <w:spacing w:before="240" w:line="276" w:lineRule="auto"/>
        <w:ind w:left="357"/>
        <w:jc w:val="both"/>
        <w:rPr>
          <w:rFonts w:ascii="Times New Roman" w:hAnsi="Times New Roman"/>
        </w:rPr>
      </w:pPr>
      <w:r w:rsidRPr="00AA24F6">
        <w:rPr>
          <w:rFonts w:ascii="Times New Roman" w:hAnsi="Times New Roman"/>
        </w:rPr>
        <w:t xml:space="preserve">Pretendenta </w:t>
      </w:r>
      <w:r w:rsidRPr="00AA24F6">
        <w:rPr>
          <w:rFonts w:ascii="Times New Roman" w:hAnsi="Times New Roman"/>
          <w:b/>
        </w:rPr>
        <w:t>SIA “</w:t>
      </w:r>
      <w:r w:rsidR="005A757E">
        <w:rPr>
          <w:rFonts w:ascii="Times New Roman" w:hAnsi="Times New Roman"/>
          <w:b/>
        </w:rPr>
        <w:t>MEGA RP” piedāvājumā:</w:t>
      </w:r>
    </w:p>
    <w:p w:rsidR="00E455C6" w:rsidRDefault="00E455C6" w:rsidP="00E455C6">
      <w:pPr>
        <w:numPr>
          <w:ilvl w:val="0"/>
          <w:numId w:val="17"/>
        </w:numPr>
        <w:spacing w:line="264" w:lineRule="auto"/>
        <w:ind w:left="357" w:firstLine="0"/>
        <w:jc w:val="both"/>
        <w:rPr>
          <w:rFonts w:ascii="Times New Roman" w:hAnsi="Times New Roman"/>
        </w:rPr>
      </w:pPr>
      <w:r w:rsidRPr="00E455C6">
        <w:rPr>
          <w:rFonts w:ascii="Times New Roman" w:hAnsi="Times New Roman"/>
        </w:rPr>
        <w:t xml:space="preserve">finanšu piedāvājuma sadaļā “Retāk veicamie autotransporta remontdarbi” pozīcijai “Vējstikla maiņa” tabulas 6.kolonnā, kur jānorāda summa bez PVN (saskaitot tabulas 4. un </w:t>
      </w:r>
      <w:r w:rsidRPr="00E455C6">
        <w:rPr>
          <w:rFonts w:ascii="Times New Roman" w:hAnsi="Times New Roman"/>
        </w:rPr>
        <w:lastRenderedPageBreak/>
        <w:t>5.kolonnu) nevienai no automašīnām nav saskaitītas vērtības “Summa par darbu” (4.kolonna) un “Jaunu rezerves daļu un materiālu izmaksas (ja nepieciešams)” (5.kolonna);</w:t>
      </w:r>
    </w:p>
    <w:p w:rsidR="00E455C6" w:rsidRDefault="00E455C6" w:rsidP="00E455C6">
      <w:pPr>
        <w:numPr>
          <w:ilvl w:val="0"/>
          <w:numId w:val="17"/>
        </w:numPr>
        <w:spacing w:line="264" w:lineRule="auto"/>
        <w:ind w:left="357" w:firstLine="0"/>
        <w:jc w:val="both"/>
        <w:rPr>
          <w:rFonts w:ascii="Times New Roman" w:hAnsi="Times New Roman"/>
        </w:rPr>
      </w:pPr>
      <w:r w:rsidRPr="00E455C6">
        <w:rPr>
          <w:rFonts w:ascii="Times New Roman" w:hAnsi="Times New Roman"/>
        </w:rPr>
        <w:t xml:space="preserve">finanšu piedāvājumā par automašīnu </w:t>
      </w:r>
      <w:proofErr w:type="spellStart"/>
      <w:r w:rsidRPr="00E455C6">
        <w:rPr>
          <w:rFonts w:ascii="Times New Roman" w:hAnsi="Times New Roman"/>
          <w:i/>
        </w:rPr>
        <w:t>Hyndai</w:t>
      </w:r>
      <w:proofErr w:type="spellEnd"/>
      <w:r w:rsidRPr="00E455C6">
        <w:rPr>
          <w:rFonts w:ascii="Times New Roman" w:hAnsi="Times New Roman"/>
          <w:i/>
        </w:rPr>
        <w:t xml:space="preserve"> </w:t>
      </w:r>
      <w:r w:rsidRPr="00E455C6">
        <w:rPr>
          <w:rFonts w:ascii="Times New Roman" w:hAnsi="Times New Roman"/>
        </w:rPr>
        <w:t xml:space="preserve">HI sadaļas “Retāk veicamie autotransporta remontdarbi” </w:t>
      </w:r>
      <w:proofErr w:type="spellStart"/>
      <w:r w:rsidRPr="00E455C6">
        <w:rPr>
          <w:rFonts w:ascii="Times New Roman" w:hAnsi="Times New Roman"/>
        </w:rPr>
        <w:t>apakšsadaļā</w:t>
      </w:r>
      <w:proofErr w:type="spellEnd"/>
      <w:r w:rsidRPr="00E455C6">
        <w:rPr>
          <w:rFonts w:ascii="Times New Roman" w:hAnsi="Times New Roman"/>
        </w:rPr>
        <w:t xml:space="preserve"> “Elektrosistēmas” kļūdaini aprēķināta summa par darbu visiem minētajā </w:t>
      </w:r>
      <w:proofErr w:type="spellStart"/>
      <w:r w:rsidRPr="00E455C6">
        <w:rPr>
          <w:rFonts w:ascii="Times New Roman" w:hAnsi="Times New Roman"/>
        </w:rPr>
        <w:t>apakšsadaļā</w:t>
      </w:r>
      <w:proofErr w:type="spellEnd"/>
      <w:r w:rsidRPr="00E455C6">
        <w:rPr>
          <w:rFonts w:ascii="Times New Roman" w:hAnsi="Times New Roman"/>
        </w:rPr>
        <w:t xml:space="preserve"> norādītajiem darbiem, reizinot finanšu piedāvājuma tabulas 2.pozīciju “Nepieciešamais stundu skaits” ar 3.pozīciju “1 stundas izmaksas”;</w:t>
      </w:r>
    </w:p>
    <w:p w:rsidR="00E455C6" w:rsidRPr="00E455C6" w:rsidRDefault="00E455C6" w:rsidP="00E455C6">
      <w:pPr>
        <w:numPr>
          <w:ilvl w:val="0"/>
          <w:numId w:val="17"/>
        </w:numPr>
        <w:spacing w:line="264" w:lineRule="auto"/>
        <w:ind w:left="357" w:firstLine="0"/>
        <w:jc w:val="both"/>
        <w:rPr>
          <w:rFonts w:ascii="Times New Roman" w:hAnsi="Times New Roman"/>
        </w:rPr>
      </w:pPr>
      <w:r w:rsidRPr="00E455C6">
        <w:rPr>
          <w:rFonts w:ascii="Times New Roman" w:hAnsi="Times New Roman"/>
        </w:rPr>
        <w:t xml:space="preserve">finanšu piedāvājumā par automašīnu </w:t>
      </w:r>
      <w:proofErr w:type="spellStart"/>
      <w:r w:rsidRPr="00E455C6">
        <w:rPr>
          <w:rFonts w:ascii="Times New Roman" w:hAnsi="Times New Roman"/>
          <w:i/>
        </w:rPr>
        <w:t>Hyndai</w:t>
      </w:r>
      <w:proofErr w:type="spellEnd"/>
      <w:r w:rsidRPr="00E455C6">
        <w:rPr>
          <w:rFonts w:ascii="Times New Roman" w:hAnsi="Times New Roman"/>
          <w:i/>
        </w:rPr>
        <w:t xml:space="preserve"> </w:t>
      </w:r>
      <w:r w:rsidRPr="00E455C6">
        <w:rPr>
          <w:rFonts w:ascii="Times New Roman" w:hAnsi="Times New Roman"/>
        </w:rPr>
        <w:t xml:space="preserve">HI sadaļas “Retāk veicamie autotransporta remontdarbi” </w:t>
      </w:r>
      <w:proofErr w:type="spellStart"/>
      <w:r w:rsidRPr="00E455C6">
        <w:rPr>
          <w:rFonts w:ascii="Times New Roman" w:hAnsi="Times New Roman"/>
        </w:rPr>
        <w:t>apakšsadaļā</w:t>
      </w:r>
      <w:proofErr w:type="spellEnd"/>
      <w:r w:rsidRPr="00E455C6">
        <w:rPr>
          <w:rFonts w:ascii="Times New Roman" w:hAnsi="Times New Roman"/>
        </w:rPr>
        <w:t xml:space="preserve"> “Virsbūve” kļūdaini aprēķināta summa pa darbu, reizinot finanšu piedāvājuma tabulas 2.pozīciju “Nepieciešamais stundu skaits” ar 3.pozīciju “1 stundas izmaksas”.</w:t>
      </w:r>
    </w:p>
    <w:p w:rsidR="00644FA2" w:rsidRPr="00644FA2" w:rsidRDefault="002765F6" w:rsidP="00C8242B">
      <w:pPr>
        <w:pStyle w:val="ListParagraph"/>
        <w:numPr>
          <w:ilvl w:val="0"/>
          <w:numId w:val="3"/>
        </w:numPr>
        <w:spacing w:line="276" w:lineRule="auto"/>
        <w:ind w:left="357" w:hanging="357"/>
        <w:jc w:val="both"/>
        <w:rPr>
          <w:rFonts w:ascii="Times New Roman" w:hAnsi="Times New Roman"/>
        </w:rPr>
      </w:pPr>
      <w:r w:rsidRPr="00E455C6">
        <w:rPr>
          <w:rFonts w:ascii="Times New Roman" w:eastAsia="Times New Roman" w:hAnsi="Times New Roman"/>
          <w:b/>
          <w:bCs/>
          <w:lang w:eastAsia="lv-LV"/>
        </w:rPr>
        <w:t xml:space="preserve">Noraidītie pretendenti un to noraidīšanas iemesli: </w:t>
      </w:r>
      <w:r w:rsidRPr="00E455C6">
        <w:rPr>
          <w:rFonts w:ascii="Times New Roman" w:eastAsia="Times New Roman" w:hAnsi="Times New Roman"/>
          <w:b/>
          <w:bCs/>
          <w:u w:val="single"/>
          <w:lang w:eastAsia="lv-LV"/>
        </w:rPr>
        <w:t>nav.</w:t>
      </w:r>
    </w:p>
    <w:p w:rsidR="00644FA2" w:rsidRPr="00644FA2" w:rsidRDefault="0033563B" w:rsidP="00644FA2">
      <w:pPr>
        <w:pStyle w:val="ListParagraph"/>
        <w:numPr>
          <w:ilvl w:val="0"/>
          <w:numId w:val="3"/>
        </w:numPr>
        <w:spacing w:before="120" w:line="276" w:lineRule="auto"/>
        <w:ind w:left="357" w:hanging="357"/>
        <w:jc w:val="both"/>
        <w:rPr>
          <w:rFonts w:ascii="Times New Roman" w:hAnsi="Times New Roman"/>
        </w:rPr>
      </w:pPr>
      <w:r w:rsidRPr="00644FA2">
        <w:rPr>
          <w:rFonts w:ascii="Times New Roman" w:hAnsi="Times New Roman"/>
          <w:b/>
        </w:rPr>
        <w:t>Par uzvarētāju noteiktā pretendenta salīdzinošās priekšrocības:</w:t>
      </w:r>
      <w:r w:rsidR="00A633AE" w:rsidRPr="00644FA2">
        <w:rPr>
          <w:rFonts w:ascii="Times New Roman" w:hAnsi="Times New Roman"/>
          <w:b/>
        </w:rPr>
        <w:t xml:space="preserve"> </w:t>
      </w:r>
      <w:r w:rsidR="00644FA2" w:rsidRPr="00644FA2">
        <w:rPr>
          <w:rFonts w:ascii="Times New Roman" w:hAnsi="Times New Roman"/>
        </w:rPr>
        <w:t>izvērtējot Iepirkumā saņemtos piedāvājumus saskaņā ar Iepirkuma nolikuma 6.7.apakšpunktā noteiktajiem saimnieciski visizdevīgākā piedāvājuma noteikšanas kritērijiem</w:t>
      </w:r>
      <w:r w:rsidR="00A94ABB">
        <w:rPr>
          <w:rFonts w:ascii="Times New Roman" w:hAnsi="Times New Roman"/>
        </w:rPr>
        <w:t>,</w:t>
      </w:r>
      <w:r w:rsidR="00644FA2" w:rsidRPr="00644FA2">
        <w:rPr>
          <w:rFonts w:ascii="Times New Roman" w:hAnsi="Times New Roman"/>
        </w:rPr>
        <w:t xml:space="preserve"> Komisija konstatēja, ka visvairāk punktus ir ieguvis pretendents</w:t>
      </w:r>
      <w:r w:rsidR="00AE0609" w:rsidRPr="00644FA2">
        <w:rPr>
          <w:rFonts w:ascii="Times New Roman" w:hAnsi="Times New Roman"/>
        </w:rPr>
        <w:t xml:space="preserve"> </w:t>
      </w:r>
      <w:r w:rsidR="00AE0609" w:rsidRPr="00644FA2">
        <w:rPr>
          <w:rFonts w:ascii="Times New Roman" w:hAnsi="Times New Roman"/>
          <w:b/>
        </w:rPr>
        <w:t>SIA “</w:t>
      </w:r>
      <w:r w:rsidR="00834AFA" w:rsidRPr="00644FA2">
        <w:rPr>
          <w:rFonts w:ascii="Times New Roman" w:hAnsi="Times New Roman"/>
          <w:b/>
        </w:rPr>
        <w:t>MEGA RP</w:t>
      </w:r>
      <w:r w:rsidR="00AE0609" w:rsidRPr="00644FA2">
        <w:rPr>
          <w:rFonts w:ascii="Times New Roman" w:hAnsi="Times New Roman"/>
          <w:b/>
        </w:rPr>
        <w:t>”</w:t>
      </w:r>
      <w:r w:rsidR="00644FA2" w:rsidRPr="00644FA2">
        <w:rPr>
          <w:rFonts w:ascii="Times New Roman" w:hAnsi="Times New Roman"/>
        </w:rPr>
        <w:t xml:space="preserve"> ar iegūto augstāko punktu skaitu kopv</w:t>
      </w:r>
      <w:r w:rsidR="00644FA2">
        <w:rPr>
          <w:rFonts w:ascii="Times New Roman" w:hAnsi="Times New Roman"/>
        </w:rPr>
        <w:t>ērtējumā – 100 (simts) punktiem.</w:t>
      </w:r>
    </w:p>
    <w:p w:rsidR="00D43D49" w:rsidRPr="00D43D49" w:rsidRDefault="00540A54" w:rsidP="00D43D49">
      <w:pPr>
        <w:pStyle w:val="ListParagraph"/>
        <w:numPr>
          <w:ilvl w:val="0"/>
          <w:numId w:val="3"/>
        </w:numPr>
        <w:spacing w:line="276" w:lineRule="auto"/>
        <w:ind w:left="357" w:hanging="357"/>
        <w:jc w:val="both"/>
        <w:rPr>
          <w:rFonts w:ascii="Times New Roman" w:eastAsia="Times New Roman" w:hAnsi="Times New Roman"/>
          <w:b/>
          <w:bCs/>
          <w:lang w:eastAsia="lv-LV"/>
        </w:rPr>
      </w:pPr>
      <w:r w:rsidRPr="00BA3184">
        <w:rPr>
          <w:rFonts w:ascii="Times New Roman" w:eastAsia="Times New Roman" w:hAnsi="Times New Roman"/>
          <w:b/>
          <w:bCs/>
          <w:lang w:eastAsia="lv-LV"/>
        </w:rPr>
        <w:t xml:space="preserve">Publisko </w:t>
      </w:r>
      <w:r w:rsidR="002E1CAE" w:rsidRPr="00BA3184">
        <w:rPr>
          <w:rFonts w:ascii="Times New Roman" w:eastAsia="Times New Roman" w:hAnsi="Times New Roman"/>
          <w:b/>
          <w:bCs/>
          <w:lang w:eastAsia="lv-LV"/>
        </w:rPr>
        <w:t>iepirkumu likuma 9</w:t>
      </w:r>
      <w:r w:rsidRPr="00BA3184">
        <w:rPr>
          <w:rFonts w:ascii="Times New Roman" w:eastAsia="Times New Roman" w:hAnsi="Times New Roman"/>
          <w:b/>
          <w:bCs/>
          <w:lang w:eastAsia="lv-LV"/>
        </w:rPr>
        <w:t>.</w:t>
      </w:r>
      <w:r w:rsidR="00A12308" w:rsidRPr="00BA3184">
        <w:rPr>
          <w:rFonts w:ascii="Times New Roman" w:eastAsia="Times New Roman" w:hAnsi="Times New Roman"/>
          <w:b/>
          <w:bCs/>
          <w:lang w:eastAsia="lv-LV"/>
        </w:rPr>
        <w:t xml:space="preserve"> </w:t>
      </w:r>
      <w:r w:rsidRPr="00BA3184">
        <w:rPr>
          <w:rFonts w:ascii="Times New Roman" w:eastAsia="Times New Roman" w:hAnsi="Times New Roman"/>
          <w:b/>
          <w:bCs/>
          <w:lang w:eastAsia="lv-LV"/>
        </w:rPr>
        <w:t xml:space="preserve">panta </w:t>
      </w:r>
      <w:r w:rsidR="00AC21A3" w:rsidRPr="00BA3184">
        <w:rPr>
          <w:rFonts w:ascii="Times New Roman" w:eastAsia="Times New Roman" w:hAnsi="Times New Roman"/>
          <w:b/>
          <w:bCs/>
          <w:lang w:eastAsia="lv-LV"/>
        </w:rPr>
        <w:t>astotajā</w:t>
      </w:r>
      <w:r w:rsidRPr="00BA3184">
        <w:rPr>
          <w:rFonts w:ascii="Times New Roman" w:eastAsia="Times New Roman" w:hAnsi="Times New Roman"/>
          <w:b/>
          <w:bCs/>
          <w:lang w:eastAsia="lv-LV"/>
        </w:rPr>
        <w:t xml:space="preserve"> daļ</w:t>
      </w:r>
      <w:r w:rsidR="00C7363D" w:rsidRPr="00BA3184">
        <w:rPr>
          <w:rFonts w:ascii="Times New Roman" w:eastAsia="Times New Roman" w:hAnsi="Times New Roman"/>
          <w:b/>
          <w:bCs/>
          <w:lang w:eastAsia="lv-LV"/>
        </w:rPr>
        <w:t>ā</w:t>
      </w:r>
      <w:r w:rsidRPr="00BA3184">
        <w:rPr>
          <w:rFonts w:ascii="Times New Roman" w:eastAsia="Times New Roman" w:hAnsi="Times New Roman"/>
          <w:b/>
          <w:bCs/>
          <w:lang w:eastAsia="lv-LV"/>
        </w:rPr>
        <w:t xml:space="preserve"> </w:t>
      </w:r>
      <w:r w:rsidR="00C7363D" w:rsidRPr="00BA3184">
        <w:rPr>
          <w:rFonts w:ascii="Times New Roman" w:eastAsia="Times New Roman" w:hAnsi="Times New Roman"/>
          <w:b/>
          <w:bCs/>
          <w:lang w:eastAsia="lv-LV"/>
        </w:rPr>
        <w:t xml:space="preserve">minētie izslēgšanas </w:t>
      </w:r>
      <w:r w:rsidR="00834AFA">
        <w:rPr>
          <w:rFonts w:ascii="Times New Roman" w:eastAsia="Times New Roman" w:hAnsi="Times New Roman"/>
          <w:b/>
          <w:bCs/>
          <w:lang w:eastAsia="lv-LV"/>
        </w:rPr>
        <w:t xml:space="preserve">gadījumi </w:t>
      </w:r>
      <w:r w:rsidR="0016334E">
        <w:rPr>
          <w:rFonts w:ascii="Times New Roman" w:eastAsia="Times New Roman" w:hAnsi="Times New Roman"/>
          <w:b/>
          <w:bCs/>
          <w:lang w:eastAsia="lv-LV"/>
        </w:rPr>
        <w:t>par</w:t>
      </w:r>
      <w:r w:rsidR="00B866B0" w:rsidRPr="00BA3184">
        <w:rPr>
          <w:rFonts w:ascii="Times New Roman" w:eastAsia="Times New Roman" w:hAnsi="Times New Roman"/>
          <w:b/>
          <w:bCs/>
          <w:lang w:eastAsia="lv-LV"/>
        </w:rPr>
        <w:t xml:space="preserve"> pretendent</w:t>
      </w:r>
      <w:r w:rsidR="0016334E">
        <w:rPr>
          <w:rFonts w:ascii="Times New Roman" w:eastAsia="Times New Roman" w:hAnsi="Times New Roman"/>
          <w:b/>
          <w:bCs/>
          <w:lang w:eastAsia="lv-LV"/>
        </w:rPr>
        <w:t>u</w:t>
      </w:r>
      <w:r w:rsidRPr="00BA3184">
        <w:rPr>
          <w:rFonts w:ascii="Times New Roman" w:eastAsia="Times New Roman" w:hAnsi="Times New Roman"/>
          <w:bCs/>
          <w:lang w:eastAsia="lv-LV"/>
        </w:rPr>
        <w:t xml:space="preserve"> </w:t>
      </w:r>
      <w:r w:rsidR="00D37BEB" w:rsidRPr="00BA3184">
        <w:rPr>
          <w:rFonts w:ascii="Times New Roman" w:hAnsi="Times New Roman"/>
          <w:b/>
        </w:rPr>
        <w:t>SIA </w:t>
      </w:r>
      <w:r w:rsidR="00BA3184">
        <w:rPr>
          <w:rFonts w:ascii="Times New Roman" w:hAnsi="Times New Roman"/>
          <w:b/>
        </w:rPr>
        <w:t>“</w:t>
      </w:r>
      <w:r w:rsidR="00834AFA">
        <w:rPr>
          <w:rFonts w:ascii="Times New Roman" w:hAnsi="Times New Roman"/>
          <w:b/>
        </w:rPr>
        <w:t>MEGA RP</w:t>
      </w:r>
      <w:r w:rsidR="00BA3184">
        <w:rPr>
          <w:rFonts w:ascii="Times New Roman" w:hAnsi="Times New Roman"/>
          <w:b/>
        </w:rPr>
        <w:t>”:</w:t>
      </w:r>
      <w:r w:rsidR="00BA3184">
        <w:rPr>
          <w:rFonts w:ascii="Times New Roman" w:eastAsia="Times New Roman" w:hAnsi="Times New Roman"/>
          <w:b/>
          <w:bCs/>
          <w:lang w:eastAsia="lv-LV"/>
        </w:rPr>
        <w:t xml:space="preserve"> </w:t>
      </w:r>
      <w:r w:rsidR="00834AFA">
        <w:rPr>
          <w:rFonts w:ascii="Times New Roman" w:eastAsia="Times New Roman" w:hAnsi="Times New Roman"/>
          <w:bCs/>
          <w:lang w:eastAsia="lv-LV"/>
        </w:rPr>
        <w:t>nav konstatējami.</w:t>
      </w:r>
    </w:p>
    <w:p w:rsidR="00D43D49" w:rsidRPr="00D43D49" w:rsidRDefault="00B220C0" w:rsidP="00D43D49">
      <w:pPr>
        <w:pStyle w:val="ListParagraph"/>
        <w:numPr>
          <w:ilvl w:val="0"/>
          <w:numId w:val="3"/>
        </w:numPr>
        <w:spacing w:line="276" w:lineRule="auto"/>
        <w:ind w:left="357" w:hanging="357"/>
        <w:jc w:val="both"/>
        <w:rPr>
          <w:rFonts w:ascii="Times New Roman" w:eastAsia="Times New Roman" w:hAnsi="Times New Roman"/>
          <w:b/>
          <w:bCs/>
          <w:lang w:eastAsia="lv-LV"/>
        </w:rPr>
      </w:pPr>
      <w:r w:rsidRPr="00D43D49">
        <w:rPr>
          <w:rFonts w:ascii="Times New Roman" w:hAnsi="Times New Roman"/>
          <w:bCs/>
          <w:lang w:eastAsia="lv-LV"/>
        </w:rPr>
        <w:t>S</w:t>
      </w:r>
      <w:r w:rsidR="00E163E5" w:rsidRPr="00D43D49">
        <w:rPr>
          <w:rFonts w:ascii="Times New Roman" w:hAnsi="Times New Roman"/>
          <w:bCs/>
          <w:lang w:eastAsia="lv-LV"/>
        </w:rPr>
        <w:t xml:space="preserve">askaņā ar Iepirkuma </w:t>
      </w:r>
      <w:r w:rsidR="00834AFA" w:rsidRPr="00D43D49">
        <w:rPr>
          <w:rFonts w:ascii="Times New Roman" w:hAnsi="Times New Roman"/>
          <w:bCs/>
          <w:lang w:eastAsia="lv-LV"/>
        </w:rPr>
        <w:t>nolikuma 6.10</w:t>
      </w:r>
      <w:r w:rsidRPr="00D43D49">
        <w:rPr>
          <w:rFonts w:ascii="Times New Roman" w:hAnsi="Times New Roman"/>
          <w:bCs/>
          <w:lang w:eastAsia="lv-LV"/>
        </w:rPr>
        <w:t xml:space="preserve">.punktu </w:t>
      </w:r>
      <w:r w:rsidR="00D43D49" w:rsidRPr="00D43D49">
        <w:rPr>
          <w:rFonts w:ascii="Times New Roman" w:hAnsi="Times New Roman"/>
        </w:rPr>
        <w:t>Komisija par uzvarētāju Iepirkumā atzīs pretendentu, kurš izraudzīts atbilstoši Nolikumā noteiktajām prasībām un kritērijiem un nav izslēdzams no dalības Iepirkumā saskaņā ar Nolikuma 5.punktā noteikto (atbilstoši PIL 9. panta astotajai daļai).</w:t>
      </w:r>
    </w:p>
    <w:p w:rsidR="008238FA" w:rsidRPr="00D43D49" w:rsidRDefault="00B220C0" w:rsidP="00D43D49">
      <w:pPr>
        <w:pStyle w:val="ListParagraph"/>
        <w:numPr>
          <w:ilvl w:val="0"/>
          <w:numId w:val="3"/>
        </w:numPr>
        <w:spacing w:line="276" w:lineRule="auto"/>
        <w:ind w:left="357" w:hanging="357"/>
        <w:jc w:val="both"/>
        <w:rPr>
          <w:rFonts w:ascii="Times New Roman" w:eastAsia="Times New Roman" w:hAnsi="Times New Roman"/>
          <w:b/>
          <w:bCs/>
          <w:lang w:eastAsia="lv-LV"/>
        </w:rPr>
      </w:pPr>
      <w:r w:rsidRPr="00D43D49">
        <w:rPr>
          <w:rFonts w:ascii="Times New Roman" w:hAnsi="Times New Roman"/>
          <w:b/>
        </w:rPr>
        <w:t>Ņ</w:t>
      </w:r>
      <w:r w:rsidR="00551D4F" w:rsidRPr="00D43D49">
        <w:rPr>
          <w:rFonts w:ascii="Times New Roman" w:hAnsi="Times New Roman"/>
          <w:b/>
        </w:rPr>
        <w:t xml:space="preserve">emot vērā veikto pretendentu iesniegto piedāvājumu </w:t>
      </w:r>
      <w:proofErr w:type="spellStart"/>
      <w:r w:rsidR="00551D4F" w:rsidRPr="00D43D49">
        <w:rPr>
          <w:rFonts w:ascii="Times New Roman" w:hAnsi="Times New Roman"/>
          <w:b/>
        </w:rPr>
        <w:t>izvērtējum</w:t>
      </w:r>
      <w:r w:rsidR="002E1CAE" w:rsidRPr="00D43D49">
        <w:rPr>
          <w:rFonts w:ascii="Times New Roman" w:hAnsi="Times New Roman"/>
          <w:b/>
        </w:rPr>
        <w:t>u</w:t>
      </w:r>
      <w:proofErr w:type="spellEnd"/>
      <w:r w:rsidR="002E1CAE" w:rsidRPr="00D43D49">
        <w:rPr>
          <w:rFonts w:ascii="Times New Roman" w:hAnsi="Times New Roman"/>
          <w:b/>
        </w:rPr>
        <w:t>, kā arī pamatojoties uz PIL 9.</w:t>
      </w:r>
      <w:r w:rsidR="00830D77" w:rsidRPr="00D43D49">
        <w:rPr>
          <w:rFonts w:ascii="Times New Roman" w:hAnsi="Times New Roman"/>
          <w:b/>
        </w:rPr>
        <w:t xml:space="preserve"> panta </w:t>
      </w:r>
      <w:r w:rsidR="00AC21A3" w:rsidRPr="00D43D49">
        <w:rPr>
          <w:rFonts w:ascii="Times New Roman" w:hAnsi="Times New Roman"/>
          <w:b/>
        </w:rPr>
        <w:t>trīspadsmito</w:t>
      </w:r>
      <w:r w:rsidR="002E1CAE" w:rsidRPr="00D43D49">
        <w:rPr>
          <w:rFonts w:ascii="Times New Roman" w:hAnsi="Times New Roman"/>
          <w:b/>
        </w:rPr>
        <w:t xml:space="preserve"> </w:t>
      </w:r>
      <w:r w:rsidR="008065D8" w:rsidRPr="00D43D49">
        <w:rPr>
          <w:rFonts w:ascii="Times New Roman" w:hAnsi="Times New Roman"/>
          <w:b/>
        </w:rPr>
        <w:t>daļu un n</w:t>
      </w:r>
      <w:r w:rsidR="00830D77" w:rsidRPr="00D43D49">
        <w:rPr>
          <w:rFonts w:ascii="Times New Roman" w:hAnsi="Times New Roman"/>
          <w:b/>
        </w:rPr>
        <w:t>olikuma 6</w:t>
      </w:r>
      <w:r w:rsidR="00D43D49">
        <w:rPr>
          <w:rFonts w:ascii="Times New Roman" w:hAnsi="Times New Roman"/>
          <w:b/>
        </w:rPr>
        <w:t>.10</w:t>
      </w:r>
      <w:r w:rsidR="00551D4F" w:rsidRPr="00D43D49">
        <w:rPr>
          <w:rFonts w:ascii="Times New Roman" w:hAnsi="Times New Roman"/>
          <w:b/>
        </w:rPr>
        <w:t xml:space="preserve">. punktu, </w:t>
      </w:r>
      <w:r w:rsidRPr="00D43D49">
        <w:rPr>
          <w:rFonts w:ascii="Times New Roman" w:hAnsi="Times New Roman"/>
          <w:b/>
        </w:rPr>
        <w:t xml:space="preserve">Komisija </w:t>
      </w:r>
      <w:r w:rsidR="00551D4F" w:rsidRPr="00D43D49">
        <w:rPr>
          <w:rFonts w:ascii="Times New Roman" w:hAnsi="Times New Roman"/>
          <w:b/>
        </w:rPr>
        <w:t>nolemj:</w:t>
      </w:r>
    </w:p>
    <w:p w:rsidR="00D43D49" w:rsidRPr="00D43D49" w:rsidRDefault="00746AB1" w:rsidP="00D43D49">
      <w:pPr>
        <w:pStyle w:val="ListParagraph"/>
        <w:numPr>
          <w:ilvl w:val="1"/>
          <w:numId w:val="3"/>
        </w:numPr>
        <w:spacing w:line="276" w:lineRule="auto"/>
        <w:ind w:left="924" w:hanging="567"/>
        <w:jc w:val="both"/>
      </w:pPr>
      <w:r w:rsidRPr="00EF2EF2">
        <w:rPr>
          <w:rFonts w:ascii="Times New Roman" w:hAnsi="Times New Roman"/>
        </w:rPr>
        <w:t>atzīt</w:t>
      </w:r>
      <w:r w:rsidRPr="00EF2EF2">
        <w:rPr>
          <w:rFonts w:ascii="Times New Roman" w:hAnsi="Times New Roman"/>
          <w:b/>
        </w:rPr>
        <w:t xml:space="preserve"> </w:t>
      </w:r>
      <w:r w:rsidR="00BA3184">
        <w:rPr>
          <w:rFonts w:ascii="Times New Roman" w:hAnsi="Times New Roman"/>
          <w:b/>
        </w:rPr>
        <w:t>SIA “</w:t>
      </w:r>
      <w:r w:rsidR="00D43D49">
        <w:rPr>
          <w:rFonts w:ascii="Times New Roman" w:hAnsi="Times New Roman"/>
          <w:b/>
        </w:rPr>
        <w:t>MEGA RP</w:t>
      </w:r>
      <w:r w:rsidR="00BA3184">
        <w:rPr>
          <w:rFonts w:ascii="Times New Roman" w:hAnsi="Times New Roman"/>
          <w:b/>
        </w:rPr>
        <w:t xml:space="preserve">” </w:t>
      </w:r>
      <w:r w:rsidR="00BA3184">
        <w:rPr>
          <w:rFonts w:ascii="Times New Roman" w:hAnsi="Times New Roman"/>
        </w:rPr>
        <w:t>par uzvarētāju Iepirkumā</w:t>
      </w:r>
      <w:r w:rsidRPr="00EF2EF2">
        <w:rPr>
          <w:rFonts w:ascii="Times New Roman" w:hAnsi="Times New Roman"/>
        </w:rPr>
        <w:t xml:space="preserve"> </w:t>
      </w:r>
      <w:r w:rsidR="00D43D49" w:rsidRPr="00D43D49">
        <w:rPr>
          <w:rFonts w:ascii="Times New Roman" w:hAnsi="Times New Roman"/>
        </w:rPr>
        <w:t>un piešķirt tam līguma slēgšanas tiesības kā saimnieciski visizdevīgākajam piedāvājumam ar iegūto augstāko punktu skaitu kopvērtējumā – 100 (simts) punktiem;</w:t>
      </w:r>
    </w:p>
    <w:p w:rsidR="00481F8F" w:rsidRPr="00481F8F" w:rsidRDefault="008238FA" w:rsidP="00481F8F">
      <w:pPr>
        <w:pStyle w:val="ListParagraph"/>
        <w:numPr>
          <w:ilvl w:val="1"/>
          <w:numId w:val="3"/>
        </w:numPr>
        <w:spacing w:line="276" w:lineRule="auto"/>
        <w:ind w:left="924" w:hanging="567"/>
        <w:jc w:val="both"/>
        <w:rPr>
          <w:rFonts w:ascii="Times New Roman" w:hAnsi="Times New Roman"/>
          <w:b/>
        </w:rPr>
      </w:pPr>
      <w:r w:rsidRPr="00EF2EF2">
        <w:rPr>
          <w:rFonts w:ascii="Times New Roman" w:hAnsi="Times New Roman"/>
        </w:rPr>
        <w:t xml:space="preserve">triju darbdienu laikā informēt visus pretendentus par Komisijas pieņemto lēmumu un Latvijas Universitātes </w:t>
      </w:r>
      <w:r w:rsidR="004A5134" w:rsidRPr="00EF2EF2">
        <w:rPr>
          <w:rFonts w:ascii="Times New Roman" w:hAnsi="Times New Roman"/>
        </w:rPr>
        <w:t>tīmekļvietnē</w:t>
      </w:r>
      <w:r w:rsidRPr="00EF2EF2">
        <w:rPr>
          <w:rFonts w:ascii="Times New Roman" w:hAnsi="Times New Roman"/>
        </w:rPr>
        <w:t xml:space="preserve"> internetā nodrošināt brīvu un tiešu elektronisku pieeju</w:t>
      </w:r>
      <w:r w:rsidRPr="00481F8F">
        <w:rPr>
          <w:rFonts w:ascii="Times New Roman" w:hAnsi="Times New Roman"/>
        </w:rPr>
        <w:t xml:space="preserve"> šim lēmumam;</w:t>
      </w:r>
    </w:p>
    <w:p w:rsidR="00481F8F" w:rsidRPr="00481F8F" w:rsidRDefault="008238FA" w:rsidP="00481F8F">
      <w:pPr>
        <w:pStyle w:val="ListParagraph"/>
        <w:numPr>
          <w:ilvl w:val="1"/>
          <w:numId w:val="3"/>
        </w:numPr>
        <w:spacing w:line="276" w:lineRule="auto"/>
        <w:ind w:left="924" w:hanging="567"/>
        <w:jc w:val="both"/>
        <w:rPr>
          <w:rFonts w:ascii="Times New Roman" w:hAnsi="Times New Roman"/>
          <w:b/>
        </w:rPr>
      </w:pPr>
      <w:r w:rsidRPr="00481F8F">
        <w:rPr>
          <w:rFonts w:ascii="Times New Roman" w:hAnsi="Times New Roman"/>
        </w:rPr>
        <w:t>desmit darbdienu laikā pēc tam, kad stājies spēkā iepirkuma līgums, publicēt Iepirkumu uzraudzības biroja mājaslapā internetā informatīvu paziņojumu par noslēgto līgumu;</w:t>
      </w:r>
    </w:p>
    <w:p w:rsidR="008238FA" w:rsidRPr="00481F8F" w:rsidRDefault="008238FA" w:rsidP="00481F8F">
      <w:pPr>
        <w:pStyle w:val="ListParagraph"/>
        <w:numPr>
          <w:ilvl w:val="1"/>
          <w:numId w:val="3"/>
        </w:numPr>
        <w:spacing w:line="276" w:lineRule="auto"/>
        <w:ind w:left="924" w:hanging="567"/>
        <w:jc w:val="both"/>
        <w:rPr>
          <w:rFonts w:ascii="Times New Roman" w:hAnsi="Times New Roman"/>
          <w:b/>
        </w:rPr>
      </w:pPr>
      <w:r w:rsidRPr="00481F8F">
        <w:rPr>
          <w:rFonts w:ascii="Times New Roman" w:hAnsi="Times New Roman"/>
        </w:rPr>
        <w:t xml:space="preserve">desmit darbdienu laikā pēc tam, kad stājies spēkā iepirkuma līgums, publicēt Latvijas Universitātes </w:t>
      </w:r>
      <w:r w:rsidR="004A5134">
        <w:rPr>
          <w:rFonts w:ascii="Times New Roman" w:hAnsi="Times New Roman"/>
        </w:rPr>
        <w:t>tīmekļvietnē</w:t>
      </w:r>
      <w:r w:rsidRPr="00481F8F">
        <w:rPr>
          <w:rFonts w:ascii="Times New Roman" w:hAnsi="Times New Roman"/>
        </w:rPr>
        <w:t xml:space="preserve"> iepirkuma līguma tekstu, atbilstoši normatīvajos aktos noteiktajai kārtībai ievērojot komercnoslēpuma aizsardzības prasības.</w:t>
      </w:r>
    </w:p>
    <w:p w:rsidR="007F1D8D" w:rsidRPr="00A428FD" w:rsidRDefault="00B14383" w:rsidP="00A428FD">
      <w:pPr>
        <w:pStyle w:val="ListParagraph"/>
        <w:numPr>
          <w:ilvl w:val="0"/>
          <w:numId w:val="3"/>
        </w:numPr>
        <w:spacing w:line="276" w:lineRule="auto"/>
        <w:ind w:left="357" w:hanging="357"/>
        <w:jc w:val="both"/>
        <w:rPr>
          <w:rFonts w:ascii="Times New Roman" w:eastAsia="Times New Roman" w:hAnsi="Times New Roman"/>
          <w:bCs/>
          <w:lang w:eastAsia="lv-LV"/>
        </w:rPr>
      </w:pPr>
      <w:r w:rsidRPr="00EC0813">
        <w:rPr>
          <w:rFonts w:ascii="Times New Roman" w:eastAsia="Times New Roman" w:hAnsi="Times New Roman"/>
          <w:bCs/>
          <w:lang w:eastAsia="lv-LV"/>
        </w:rPr>
        <w:t>Saskaņā</w:t>
      </w:r>
      <w:r w:rsidR="008238FA">
        <w:rPr>
          <w:rFonts w:ascii="Times New Roman" w:eastAsia="Times New Roman" w:hAnsi="Times New Roman"/>
          <w:bCs/>
          <w:lang w:eastAsia="lv-LV"/>
        </w:rPr>
        <w:t xml:space="preserve"> ar Publisko iepirkumu likuma 9.</w:t>
      </w:r>
      <w:r w:rsidR="00D0557F">
        <w:rPr>
          <w:rFonts w:ascii="Times New Roman" w:eastAsia="Times New Roman" w:hAnsi="Times New Roman"/>
          <w:bCs/>
          <w:lang w:eastAsia="lv-LV"/>
        </w:rPr>
        <w:t xml:space="preserve"> panta </w:t>
      </w:r>
      <w:r w:rsidR="00935F91">
        <w:rPr>
          <w:rFonts w:ascii="Times New Roman" w:eastAsia="Times New Roman" w:hAnsi="Times New Roman"/>
          <w:bCs/>
          <w:lang w:eastAsia="lv-LV"/>
        </w:rPr>
        <w:t>divdesmit trešo</w:t>
      </w:r>
      <w:r w:rsidR="00D0557F">
        <w:rPr>
          <w:rFonts w:ascii="Times New Roman" w:eastAsia="Times New Roman" w:hAnsi="Times New Roman"/>
          <w:bCs/>
          <w:lang w:eastAsia="lv-LV"/>
        </w:rPr>
        <w:t xml:space="preserve"> daļu p</w:t>
      </w:r>
      <w:r w:rsidRPr="00EC0813">
        <w:rPr>
          <w:rFonts w:ascii="Times New Roman" w:eastAsia="Times New Roman" w:hAnsi="Times New Roman"/>
          <w:bCs/>
          <w:lang w:eastAsia="lv-LV"/>
        </w:rPr>
        <w:t>retendents, kas iesniedz</w:t>
      </w:r>
      <w:r w:rsidR="003A7EB7">
        <w:rPr>
          <w:rFonts w:ascii="Times New Roman" w:eastAsia="Times New Roman" w:hAnsi="Times New Roman"/>
          <w:bCs/>
          <w:lang w:eastAsia="lv-LV"/>
        </w:rPr>
        <w:t>is piedāvājumu i</w:t>
      </w:r>
      <w:r w:rsidR="00935F91">
        <w:rPr>
          <w:rFonts w:ascii="Times New Roman" w:eastAsia="Times New Roman" w:hAnsi="Times New Roman"/>
          <w:bCs/>
          <w:lang w:eastAsia="lv-LV"/>
        </w:rPr>
        <w:t>epirkumā, un kurš</w:t>
      </w:r>
      <w:r w:rsidRPr="00EC0813">
        <w:rPr>
          <w:rFonts w:ascii="Times New Roman" w:eastAsia="Times New Roman" w:hAnsi="Times New Roman"/>
          <w:bCs/>
          <w:lang w:eastAsia="lv-LV"/>
        </w:rPr>
        <w:t xml:space="preserve"> uzskata, ka ir aizskartas tā tiesības vai iespējams šo tiesību aizskārums, tas šo iepirkumu komisijas lēmumu var pārsūdzēt Administratīvajā rajona tiesā</w:t>
      </w:r>
      <w:r w:rsidR="00935F91">
        <w:rPr>
          <w:rFonts w:ascii="Times New Roman" w:eastAsia="Times New Roman" w:hAnsi="Times New Roman"/>
          <w:bCs/>
          <w:lang w:eastAsia="lv-LV"/>
        </w:rPr>
        <w:t xml:space="preserve"> Administratīv</w:t>
      </w:r>
      <w:r w:rsidR="003A7EB7">
        <w:rPr>
          <w:rFonts w:ascii="Times New Roman" w:eastAsia="Times New Roman" w:hAnsi="Times New Roman"/>
          <w:bCs/>
          <w:lang w:eastAsia="lv-LV"/>
        </w:rPr>
        <w:t>ā procesa likumā</w:t>
      </w:r>
      <w:r w:rsidR="00935F91">
        <w:rPr>
          <w:rFonts w:ascii="Times New Roman" w:eastAsia="Times New Roman" w:hAnsi="Times New Roman"/>
          <w:bCs/>
          <w:lang w:eastAsia="lv-LV"/>
        </w:rPr>
        <w:t xml:space="preserve"> noteiktajā kārtībā </w:t>
      </w:r>
      <w:r w:rsidRPr="00EC0813">
        <w:rPr>
          <w:rFonts w:ascii="Times New Roman" w:eastAsia="Times New Roman" w:hAnsi="Times New Roman"/>
          <w:bCs/>
          <w:lang w:eastAsia="lv-LV"/>
        </w:rPr>
        <w:t xml:space="preserve">mēneša laikā no tā </w:t>
      </w:r>
      <w:r w:rsidR="00935F91">
        <w:rPr>
          <w:rFonts w:ascii="Times New Roman" w:eastAsia="Times New Roman" w:hAnsi="Times New Roman"/>
          <w:bCs/>
          <w:lang w:eastAsia="lv-LV"/>
        </w:rPr>
        <w:t>saņemšanas</w:t>
      </w:r>
      <w:r w:rsidRPr="00EC0813">
        <w:rPr>
          <w:rFonts w:ascii="Times New Roman" w:eastAsia="Times New Roman" w:hAnsi="Times New Roman"/>
          <w:bCs/>
          <w:lang w:eastAsia="lv-LV"/>
        </w:rPr>
        <w:t xml:space="preserve"> dienas.</w:t>
      </w:r>
    </w:p>
    <w:tbl>
      <w:tblPr>
        <w:tblpPr w:leftFromText="180" w:rightFromText="180" w:vertAnchor="text" w:horzAnchor="margin" w:tblpY="158"/>
        <w:tblW w:w="9387" w:type="dxa"/>
        <w:tblLook w:val="04A0" w:firstRow="1" w:lastRow="0" w:firstColumn="1" w:lastColumn="0" w:noHBand="0" w:noVBand="1"/>
      </w:tblPr>
      <w:tblGrid>
        <w:gridCol w:w="3794"/>
        <w:gridCol w:w="3424"/>
        <w:gridCol w:w="2169"/>
      </w:tblGrid>
      <w:tr w:rsidR="0009540C" w:rsidRPr="009C2425" w:rsidTr="0009540C">
        <w:tc>
          <w:tcPr>
            <w:tcW w:w="3794"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Komisijas priekšsēdētājs</w:t>
            </w:r>
          </w:p>
        </w:tc>
        <w:tc>
          <w:tcPr>
            <w:tcW w:w="3424" w:type="dxa"/>
            <w:tcBorders>
              <w:bottom w:val="single" w:sz="4" w:space="0" w:color="auto"/>
            </w:tcBorders>
            <w:shd w:val="clear" w:color="auto" w:fill="auto"/>
            <w:vAlign w:val="bottom"/>
          </w:tcPr>
          <w:p w:rsidR="0009540C" w:rsidRPr="009C2425" w:rsidRDefault="0009540C" w:rsidP="0009540C">
            <w:pPr>
              <w:jc w:val="center"/>
              <w:rPr>
                <w:rFonts w:ascii="Times New Roman" w:hAnsi="Times New Roman"/>
              </w:rPr>
            </w:pPr>
          </w:p>
          <w:p w:rsidR="0009540C" w:rsidRPr="009C2425" w:rsidRDefault="0009540C" w:rsidP="0009540C">
            <w:pPr>
              <w:jc w:val="center"/>
              <w:rPr>
                <w:rFonts w:ascii="Times New Roman" w:hAnsi="Times New Roman"/>
                <w:i/>
              </w:rPr>
            </w:pPr>
            <w:r w:rsidRPr="009C2425">
              <w:rPr>
                <w:rFonts w:ascii="Times New Roman" w:hAnsi="Times New Roman"/>
                <w:i/>
              </w:rPr>
              <w:t>(personiskais paraksts)</w:t>
            </w:r>
          </w:p>
        </w:tc>
        <w:tc>
          <w:tcPr>
            <w:tcW w:w="2169"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/E. Megne/</w:t>
            </w:r>
          </w:p>
        </w:tc>
      </w:tr>
      <w:tr w:rsidR="0009540C" w:rsidRPr="009C2425" w:rsidTr="0009540C">
        <w:tc>
          <w:tcPr>
            <w:tcW w:w="3794"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Komisijas locekļi:</w:t>
            </w:r>
          </w:p>
        </w:tc>
        <w:tc>
          <w:tcPr>
            <w:tcW w:w="3424" w:type="dxa"/>
            <w:tcBorders>
              <w:bottom w:val="single" w:sz="4" w:space="0" w:color="auto"/>
            </w:tcBorders>
            <w:shd w:val="clear" w:color="auto" w:fill="auto"/>
            <w:vAlign w:val="bottom"/>
          </w:tcPr>
          <w:p w:rsidR="0009540C" w:rsidRPr="009C2425" w:rsidRDefault="0009540C" w:rsidP="0009540C">
            <w:pPr>
              <w:jc w:val="center"/>
              <w:rPr>
                <w:rFonts w:ascii="Times New Roman" w:hAnsi="Times New Roman"/>
              </w:rPr>
            </w:pPr>
          </w:p>
          <w:p w:rsidR="0009540C" w:rsidRPr="009C2425" w:rsidRDefault="0009540C" w:rsidP="0009540C">
            <w:pPr>
              <w:jc w:val="center"/>
              <w:rPr>
                <w:rFonts w:ascii="Times New Roman" w:hAnsi="Times New Roman"/>
              </w:rPr>
            </w:pPr>
            <w:r w:rsidRPr="009C2425">
              <w:rPr>
                <w:rFonts w:ascii="Times New Roman" w:hAnsi="Times New Roman"/>
                <w:i/>
              </w:rPr>
              <w:t>(personiskais paraksts)</w:t>
            </w:r>
          </w:p>
        </w:tc>
        <w:tc>
          <w:tcPr>
            <w:tcW w:w="2169"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/D. Silarāja/</w:t>
            </w:r>
          </w:p>
        </w:tc>
      </w:tr>
      <w:tr w:rsidR="0009540C" w:rsidRPr="009C2425" w:rsidTr="0009540C">
        <w:tc>
          <w:tcPr>
            <w:tcW w:w="3794" w:type="dxa"/>
            <w:shd w:val="clear" w:color="auto" w:fill="auto"/>
          </w:tcPr>
          <w:p w:rsidR="0009540C" w:rsidRPr="009C2425" w:rsidRDefault="0009540C" w:rsidP="008419CD">
            <w:pPr>
              <w:rPr>
                <w:rFonts w:ascii="Times New Roman" w:hAnsi="Times New Roman"/>
              </w:rPr>
            </w:pPr>
          </w:p>
        </w:tc>
        <w:tc>
          <w:tcPr>
            <w:tcW w:w="3424" w:type="dxa"/>
            <w:tcBorders>
              <w:bottom w:val="single" w:sz="4" w:space="0" w:color="auto"/>
            </w:tcBorders>
            <w:shd w:val="clear" w:color="auto" w:fill="auto"/>
            <w:vAlign w:val="bottom"/>
          </w:tcPr>
          <w:p w:rsidR="0009540C" w:rsidRPr="009C2425" w:rsidRDefault="0009540C" w:rsidP="0009540C">
            <w:pPr>
              <w:jc w:val="center"/>
              <w:rPr>
                <w:rFonts w:ascii="Times New Roman" w:hAnsi="Times New Roman"/>
                <w:i/>
              </w:rPr>
            </w:pPr>
          </w:p>
          <w:p w:rsidR="0009540C" w:rsidRPr="009C2425" w:rsidRDefault="0009540C" w:rsidP="0009540C">
            <w:pPr>
              <w:jc w:val="center"/>
              <w:rPr>
                <w:rFonts w:ascii="Times New Roman" w:hAnsi="Times New Roman"/>
              </w:rPr>
            </w:pPr>
            <w:r w:rsidRPr="009C2425">
              <w:rPr>
                <w:rFonts w:ascii="Times New Roman" w:hAnsi="Times New Roman"/>
                <w:i/>
              </w:rPr>
              <w:t>(personiskais paraksts)</w:t>
            </w:r>
          </w:p>
        </w:tc>
        <w:tc>
          <w:tcPr>
            <w:tcW w:w="2169"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/I. Tumaševska/</w:t>
            </w:r>
          </w:p>
        </w:tc>
      </w:tr>
      <w:tr w:rsidR="0009540C" w:rsidRPr="009C2425" w:rsidTr="0009540C">
        <w:tc>
          <w:tcPr>
            <w:tcW w:w="3794" w:type="dxa"/>
            <w:shd w:val="clear" w:color="auto" w:fill="auto"/>
          </w:tcPr>
          <w:p w:rsidR="0009540C" w:rsidRPr="009C2425" w:rsidRDefault="0009540C" w:rsidP="008419CD">
            <w:pPr>
              <w:rPr>
                <w:rFonts w:ascii="Times New Roman" w:hAnsi="Times New Roman"/>
              </w:rPr>
            </w:pPr>
          </w:p>
        </w:tc>
        <w:tc>
          <w:tcPr>
            <w:tcW w:w="3424" w:type="dxa"/>
            <w:tcBorders>
              <w:top w:val="single" w:sz="4" w:space="0" w:color="auto"/>
              <w:bottom w:val="single" w:sz="4" w:space="0" w:color="auto"/>
            </w:tcBorders>
            <w:shd w:val="clear" w:color="auto" w:fill="auto"/>
            <w:vAlign w:val="bottom"/>
          </w:tcPr>
          <w:p w:rsidR="0009540C" w:rsidRPr="009C2425" w:rsidRDefault="0009540C" w:rsidP="0009540C">
            <w:pPr>
              <w:jc w:val="center"/>
              <w:rPr>
                <w:rFonts w:ascii="Times New Roman" w:hAnsi="Times New Roman"/>
              </w:rPr>
            </w:pPr>
          </w:p>
          <w:p w:rsidR="0009540C" w:rsidRPr="009C2425" w:rsidRDefault="0009540C" w:rsidP="0009540C">
            <w:pPr>
              <w:jc w:val="center"/>
              <w:rPr>
                <w:rFonts w:ascii="Times New Roman" w:hAnsi="Times New Roman"/>
              </w:rPr>
            </w:pPr>
            <w:r w:rsidRPr="009C2425">
              <w:rPr>
                <w:rFonts w:ascii="Times New Roman" w:hAnsi="Times New Roman"/>
                <w:i/>
              </w:rPr>
              <w:t>(personiskais paraksts)</w:t>
            </w:r>
          </w:p>
        </w:tc>
        <w:tc>
          <w:tcPr>
            <w:tcW w:w="2169"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/M. Markus/</w:t>
            </w:r>
          </w:p>
        </w:tc>
      </w:tr>
      <w:tr w:rsidR="0009540C" w:rsidRPr="009C2425" w:rsidTr="0009540C">
        <w:tc>
          <w:tcPr>
            <w:tcW w:w="3794" w:type="dxa"/>
            <w:shd w:val="clear" w:color="auto" w:fill="auto"/>
          </w:tcPr>
          <w:p w:rsidR="0009540C" w:rsidRPr="009C2425" w:rsidRDefault="0009540C" w:rsidP="008419CD">
            <w:pPr>
              <w:rPr>
                <w:rFonts w:ascii="Times New Roman" w:hAnsi="Times New Roman"/>
                <w:iCs/>
              </w:rPr>
            </w:pPr>
          </w:p>
          <w:p w:rsidR="0009540C" w:rsidRPr="009C2425" w:rsidRDefault="0009540C" w:rsidP="008419CD">
            <w:pPr>
              <w:rPr>
                <w:rFonts w:ascii="Times New Roman" w:hAnsi="Times New Roman"/>
              </w:rPr>
            </w:pPr>
            <w:r w:rsidRPr="009C2425">
              <w:rPr>
                <w:rFonts w:ascii="Times New Roman" w:hAnsi="Times New Roman"/>
                <w:iCs/>
              </w:rPr>
              <w:t>Iepirkuma komisijas sekretāre:</w:t>
            </w:r>
          </w:p>
        </w:tc>
        <w:tc>
          <w:tcPr>
            <w:tcW w:w="3424" w:type="dxa"/>
            <w:tcBorders>
              <w:top w:val="single" w:sz="4" w:space="0" w:color="auto"/>
              <w:bottom w:val="single" w:sz="4" w:space="0" w:color="auto"/>
            </w:tcBorders>
            <w:shd w:val="clear" w:color="auto" w:fill="auto"/>
            <w:vAlign w:val="bottom"/>
          </w:tcPr>
          <w:p w:rsidR="0009540C" w:rsidRPr="009C2425" w:rsidRDefault="0009540C" w:rsidP="0009540C">
            <w:pPr>
              <w:jc w:val="center"/>
              <w:rPr>
                <w:rFonts w:ascii="Times New Roman" w:hAnsi="Times New Roman"/>
                <w:i/>
              </w:rPr>
            </w:pPr>
          </w:p>
          <w:p w:rsidR="0009540C" w:rsidRPr="009C2425" w:rsidRDefault="0009540C" w:rsidP="0009540C">
            <w:pPr>
              <w:jc w:val="center"/>
              <w:rPr>
                <w:rFonts w:ascii="Times New Roman" w:hAnsi="Times New Roman"/>
              </w:rPr>
            </w:pPr>
            <w:r w:rsidRPr="009C2425">
              <w:rPr>
                <w:rFonts w:ascii="Times New Roman" w:hAnsi="Times New Roman"/>
                <w:i/>
              </w:rPr>
              <w:t>(personiskais paraksts)</w:t>
            </w:r>
          </w:p>
        </w:tc>
        <w:tc>
          <w:tcPr>
            <w:tcW w:w="2169" w:type="dxa"/>
            <w:shd w:val="clear" w:color="auto" w:fill="auto"/>
          </w:tcPr>
          <w:p w:rsidR="0009540C" w:rsidRPr="009C2425" w:rsidRDefault="0009540C" w:rsidP="008419CD">
            <w:pPr>
              <w:rPr>
                <w:rFonts w:ascii="Times New Roman" w:hAnsi="Times New Roman"/>
              </w:rPr>
            </w:pPr>
          </w:p>
          <w:p w:rsidR="0009540C" w:rsidRPr="009C2425" w:rsidRDefault="0009540C" w:rsidP="008419CD">
            <w:pPr>
              <w:rPr>
                <w:rFonts w:ascii="Times New Roman" w:hAnsi="Times New Roman"/>
              </w:rPr>
            </w:pPr>
            <w:r w:rsidRPr="009C2425">
              <w:rPr>
                <w:rFonts w:ascii="Times New Roman" w:hAnsi="Times New Roman"/>
              </w:rPr>
              <w:t>/S. Kursīte/</w:t>
            </w:r>
          </w:p>
        </w:tc>
      </w:tr>
    </w:tbl>
    <w:p w:rsidR="008973FD" w:rsidRPr="00551D4F" w:rsidRDefault="008973FD" w:rsidP="00540A54">
      <w:pPr>
        <w:spacing w:line="360" w:lineRule="auto"/>
        <w:ind w:right="-1192"/>
        <w:rPr>
          <w:rFonts w:ascii="Times New Roman" w:hAnsi="Times New Roman"/>
        </w:rPr>
      </w:pPr>
    </w:p>
    <w:sectPr w:rsidR="008973FD" w:rsidRPr="00551D4F" w:rsidSect="00170B0F">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C2" w:rsidRDefault="002166C2" w:rsidP="006033D8">
      <w:r>
        <w:separator/>
      </w:r>
    </w:p>
  </w:endnote>
  <w:endnote w:type="continuationSeparator" w:id="0">
    <w:p w:rsidR="002166C2" w:rsidRDefault="002166C2"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06275F">
          <w:rPr>
            <w:rFonts w:ascii="Times New Roman" w:hAnsi="Times New Roman"/>
            <w:noProof/>
          </w:rPr>
          <w:t>3</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C2" w:rsidRDefault="002166C2" w:rsidP="006033D8">
      <w:r>
        <w:separator/>
      </w:r>
    </w:p>
  </w:footnote>
  <w:footnote w:type="continuationSeparator" w:id="0">
    <w:p w:rsidR="002166C2" w:rsidRDefault="002166C2"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561C69"/>
    <w:multiLevelType w:val="multilevel"/>
    <w:tmpl w:val="74F675FC"/>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2F85875"/>
    <w:multiLevelType w:val="hybridMultilevel"/>
    <w:tmpl w:val="8D3E1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7D33A5"/>
    <w:multiLevelType w:val="multilevel"/>
    <w:tmpl w:val="5C16437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1142"/>
        </w:tabs>
        <w:ind w:left="114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2"/>
  </w:num>
  <w:num w:numId="5">
    <w:abstractNumId w:val="7"/>
  </w:num>
  <w:num w:numId="6">
    <w:abstractNumId w:val="10"/>
  </w:num>
  <w:num w:numId="7">
    <w:abstractNumId w:val="4"/>
  </w:num>
  <w:num w:numId="8">
    <w:abstractNumId w:val="1"/>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02709"/>
    <w:rsid w:val="000067F3"/>
    <w:rsid w:val="000101B3"/>
    <w:rsid w:val="00016D6A"/>
    <w:rsid w:val="000213E6"/>
    <w:rsid w:val="000305BA"/>
    <w:rsid w:val="0003443F"/>
    <w:rsid w:val="00045951"/>
    <w:rsid w:val="00047735"/>
    <w:rsid w:val="00047B29"/>
    <w:rsid w:val="00050D81"/>
    <w:rsid w:val="0006275F"/>
    <w:rsid w:val="0006653A"/>
    <w:rsid w:val="0007019F"/>
    <w:rsid w:val="00070BBC"/>
    <w:rsid w:val="000851CC"/>
    <w:rsid w:val="000857D6"/>
    <w:rsid w:val="00092D29"/>
    <w:rsid w:val="0009540C"/>
    <w:rsid w:val="000A3901"/>
    <w:rsid w:val="000B57B5"/>
    <w:rsid w:val="000C154A"/>
    <w:rsid w:val="000D43E8"/>
    <w:rsid w:val="000D43EF"/>
    <w:rsid w:val="000F2CC0"/>
    <w:rsid w:val="00100C9C"/>
    <w:rsid w:val="00102B8F"/>
    <w:rsid w:val="00115D02"/>
    <w:rsid w:val="00116E28"/>
    <w:rsid w:val="0016334E"/>
    <w:rsid w:val="00167D94"/>
    <w:rsid w:val="00170B0F"/>
    <w:rsid w:val="001737AC"/>
    <w:rsid w:val="00196880"/>
    <w:rsid w:val="001A112A"/>
    <w:rsid w:val="001A76B4"/>
    <w:rsid w:val="001B0CA3"/>
    <w:rsid w:val="001B5054"/>
    <w:rsid w:val="001B6392"/>
    <w:rsid w:val="001D1555"/>
    <w:rsid w:val="001E1C8A"/>
    <w:rsid w:val="001F180F"/>
    <w:rsid w:val="001F31CE"/>
    <w:rsid w:val="00207651"/>
    <w:rsid w:val="0021316E"/>
    <w:rsid w:val="002166C2"/>
    <w:rsid w:val="00220A90"/>
    <w:rsid w:val="00226C62"/>
    <w:rsid w:val="00230887"/>
    <w:rsid w:val="00241856"/>
    <w:rsid w:val="0024340B"/>
    <w:rsid w:val="00245295"/>
    <w:rsid w:val="002453E0"/>
    <w:rsid w:val="002466F7"/>
    <w:rsid w:val="00257A0B"/>
    <w:rsid w:val="002638B8"/>
    <w:rsid w:val="00265D84"/>
    <w:rsid w:val="00267A3F"/>
    <w:rsid w:val="002706E0"/>
    <w:rsid w:val="00272C93"/>
    <w:rsid w:val="002765F6"/>
    <w:rsid w:val="00290B16"/>
    <w:rsid w:val="0029123B"/>
    <w:rsid w:val="00296863"/>
    <w:rsid w:val="002B208E"/>
    <w:rsid w:val="002B597C"/>
    <w:rsid w:val="002C4E9E"/>
    <w:rsid w:val="002E1CAE"/>
    <w:rsid w:val="002E6776"/>
    <w:rsid w:val="002E765C"/>
    <w:rsid w:val="00312122"/>
    <w:rsid w:val="00320E49"/>
    <w:rsid w:val="00324616"/>
    <w:rsid w:val="003326E9"/>
    <w:rsid w:val="00334F94"/>
    <w:rsid w:val="0033563B"/>
    <w:rsid w:val="00361A7E"/>
    <w:rsid w:val="00361EC5"/>
    <w:rsid w:val="00365D1C"/>
    <w:rsid w:val="003749C1"/>
    <w:rsid w:val="0038727C"/>
    <w:rsid w:val="00391387"/>
    <w:rsid w:val="003A7EB7"/>
    <w:rsid w:val="003C122B"/>
    <w:rsid w:val="003C25D6"/>
    <w:rsid w:val="003C5192"/>
    <w:rsid w:val="003C7D90"/>
    <w:rsid w:val="003F58C7"/>
    <w:rsid w:val="00407C29"/>
    <w:rsid w:val="00434345"/>
    <w:rsid w:val="00434494"/>
    <w:rsid w:val="004357CF"/>
    <w:rsid w:val="00461E31"/>
    <w:rsid w:val="00463096"/>
    <w:rsid w:val="00465086"/>
    <w:rsid w:val="00481F8F"/>
    <w:rsid w:val="00490CC3"/>
    <w:rsid w:val="004A5134"/>
    <w:rsid w:val="004B763D"/>
    <w:rsid w:val="004F2020"/>
    <w:rsid w:val="00501D73"/>
    <w:rsid w:val="00506ACF"/>
    <w:rsid w:val="00527289"/>
    <w:rsid w:val="00540A54"/>
    <w:rsid w:val="00551D4F"/>
    <w:rsid w:val="00557DBF"/>
    <w:rsid w:val="00560B28"/>
    <w:rsid w:val="005703B4"/>
    <w:rsid w:val="00584934"/>
    <w:rsid w:val="005A3FC7"/>
    <w:rsid w:val="005A54B5"/>
    <w:rsid w:val="005A5D91"/>
    <w:rsid w:val="005A757E"/>
    <w:rsid w:val="005B5214"/>
    <w:rsid w:val="005E2BA0"/>
    <w:rsid w:val="005E6AA1"/>
    <w:rsid w:val="005F3B6D"/>
    <w:rsid w:val="00602FEF"/>
    <w:rsid w:val="006033D8"/>
    <w:rsid w:val="00605BD0"/>
    <w:rsid w:val="00610DC5"/>
    <w:rsid w:val="006160C6"/>
    <w:rsid w:val="006174B5"/>
    <w:rsid w:val="00630721"/>
    <w:rsid w:val="006328B3"/>
    <w:rsid w:val="006401D2"/>
    <w:rsid w:val="00644FA2"/>
    <w:rsid w:val="00646EC9"/>
    <w:rsid w:val="0065223C"/>
    <w:rsid w:val="00654C33"/>
    <w:rsid w:val="0065725F"/>
    <w:rsid w:val="00662ADF"/>
    <w:rsid w:val="0068540D"/>
    <w:rsid w:val="006908B0"/>
    <w:rsid w:val="006A2717"/>
    <w:rsid w:val="006A3AB7"/>
    <w:rsid w:val="006B73C1"/>
    <w:rsid w:val="006C0D6D"/>
    <w:rsid w:val="006C5821"/>
    <w:rsid w:val="006E3ADA"/>
    <w:rsid w:val="006E4C54"/>
    <w:rsid w:val="006F447C"/>
    <w:rsid w:val="007124C1"/>
    <w:rsid w:val="007156D9"/>
    <w:rsid w:val="00725DD8"/>
    <w:rsid w:val="00732CEA"/>
    <w:rsid w:val="00746AB1"/>
    <w:rsid w:val="00754DB3"/>
    <w:rsid w:val="007628EF"/>
    <w:rsid w:val="00765C53"/>
    <w:rsid w:val="007676EE"/>
    <w:rsid w:val="00780872"/>
    <w:rsid w:val="00784817"/>
    <w:rsid w:val="007B6161"/>
    <w:rsid w:val="007C27E0"/>
    <w:rsid w:val="007E4633"/>
    <w:rsid w:val="007E7FB9"/>
    <w:rsid w:val="007F1D8D"/>
    <w:rsid w:val="008065D8"/>
    <w:rsid w:val="00807C5E"/>
    <w:rsid w:val="0081014D"/>
    <w:rsid w:val="00822F5A"/>
    <w:rsid w:val="008238FA"/>
    <w:rsid w:val="00830D77"/>
    <w:rsid w:val="00834AFA"/>
    <w:rsid w:val="008352E4"/>
    <w:rsid w:val="00836D87"/>
    <w:rsid w:val="00840EFD"/>
    <w:rsid w:val="008502CD"/>
    <w:rsid w:val="00851B4D"/>
    <w:rsid w:val="00861EC6"/>
    <w:rsid w:val="00862FA9"/>
    <w:rsid w:val="0087108C"/>
    <w:rsid w:val="0087766B"/>
    <w:rsid w:val="00886A19"/>
    <w:rsid w:val="0088793E"/>
    <w:rsid w:val="00890EF2"/>
    <w:rsid w:val="0089129A"/>
    <w:rsid w:val="0089140D"/>
    <w:rsid w:val="008973FD"/>
    <w:rsid w:val="008A07D7"/>
    <w:rsid w:val="008A4B17"/>
    <w:rsid w:val="008A6A9A"/>
    <w:rsid w:val="008B60CE"/>
    <w:rsid w:val="008D1DB5"/>
    <w:rsid w:val="008F1610"/>
    <w:rsid w:val="008F1BAE"/>
    <w:rsid w:val="008F285B"/>
    <w:rsid w:val="00904E0F"/>
    <w:rsid w:val="00904F3D"/>
    <w:rsid w:val="0091124A"/>
    <w:rsid w:val="00930BB6"/>
    <w:rsid w:val="00934BC0"/>
    <w:rsid w:val="00935188"/>
    <w:rsid w:val="00935F91"/>
    <w:rsid w:val="00940C95"/>
    <w:rsid w:val="00943744"/>
    <w:rsid w:val="009606E9"/>
    <w:rsid w:val="0097773B"/>
    <w:rsid w:val="00983349"/>
    <w:rsid w:val="009A4D65"/>
    <w:rsid w:val="009B5373"/>
    <w:rsid w:val="009C1A67"/>
    <w:rsid w:val="009C2425"/>
    <w:rsid w:val="009C2BBB"/>
    <w:rsid w:val="009D228E"/>
    <w:rsid w:val="009D4781"/>
    <w:rsid w:val="009E6B23"/>
    <w:rsid w:val="009F1579"/>
    <w:rsid w:val="009F6888"/>
    <w:rsid w:val="00A00A20"/>
    <w:rsid w:val="00A03EA2"/>
    <w:rsid w:val="00A05374"/>
    <w:rsid w:val="00A110A7"/>
    <w:rsid w:val="00A12308"/>
    <w:rsid w:val="00A155F8"/>
    <w:rsid w:val="00A3209C"/>
    <w:rsid w:val="00A428FD"/>
    <w:rsid w:val="00A44D71"/>
    <w:rsid w:val="00A456B3"/>
    <w:rsid w:val="00A56720"/>
    <w:rsid w:val="00A625DF"/>
    <w:rsid w:val="00A633AE"/>
    <w:rsid w:val="00A71809"/>
    <w:rsid w:val="00A75DF2"/>
    <w:rsid w:val="00A94ABB"/>
    <w:rsid w:val="00A94B8B"/>
    <w:rsid w:val="00A96BA4"/>
    <w:rsid w:val="00AA24F6"/>
    <w:rsid w:val="00AC21A3"/>
    <w:rsid w:val="00AE056A"/>
    <w:rsid w:val="00AE0609"/>
    <w:rsid w:val="00AE6829"/>
    <w:rsid w:val="00AF33F6"/>
    <w:rsid w:val="00AF7FBE"/>
    <w:rsid w:val="00B01811"/>
    <w:rsid w:val="00B0353E"/>
    <w:rsid w:val="00B12D92"/>
    <w:rsid w:val="00B14383"/>
    <w:rsid w:val="00B15179"/>
    <w:rsid w:val="00B220C0"/>
    <w:rsid w:val="00B309D9"/>
    <w:rsid w:val="00B33BE6"/>
    <w:rsid w:val="00B42D18"/>
    <w:rsid w:val="00B63B91"/>
    <w:rsid w:val="00B6580B"/>
    <w:rsid w:val="00B762AF"/>
    <w:rsid w:val="00B7667D"/>
    <w:rsid w:val="00B8069E"/>
    <w:rsid w:val="00B83DD8"/>
    <w:rsid w:val="00B857E7"/>
    <w:rsid w:val="00B85A69"/>
    <w:rsid w:val="00B866B0"/>
    <w:rsid w:val="00B901E4"/>
    <w:rsid w:val="00BA3184"/>
    <w:rsid w:val="00BA4F2E"/>
    <w:rsid w:val="00BB3848"/>
    <w:rsid w:val="00BB7221"/>
    <w:rsid w:val="00BB7A2F"/>
    <w:rsid w:val="00BC26DC"/>
    <w:rsid w:val="00BC2FC7"/>
    <w:rsid w:val="00BD747B"/>
    <w:rsid w:val="00BE5191"/>
    <w:rsid w:val="00BE6F95"/>
    <w:rsid w:val="00C0171A"/>
    <w:rsid w:val="00C017D4"/>
    <w:rsid w:val="00C02424"/>
    <w:rsid w:val="00C02F72"/>
    <w:rsid w:val="00C164FC"/>
    <w:rsid w:val="00C16E6E"/>
    <w:rsid w:val="00C2112E"/>
    <w:rsid w:val="00C40C3C"/>
    <w:rsid w:val="00C42A20"/>
    <w:rsid w:val="00C462BF"/>
    <w:rsid w:val="00C55460"/>
    <w:rsid w:val="00C64E8D"/>
    <w:rsid w:val="00C66D01"/>
    <w:rsid w:val="00C7363D"/>
    <w:rsid w:val="00C75759"/>
    <w:rsid w:val="00C8242B"/>
    <w:rsid w:val="00C852E2"/>
    <w:rsid w:val="00C955CE"/>
    <w:rsid w:val="00CA2526"/>
    <w:rsid w:val="00CA64D7"/>
    <w:rsid w:val="00CA6594"/>
    <w:rsid w:val="00CB3257"/>
    <w:rsid w:val="00CB39FE"/>
    <w:rsid w:val="00CD4AAB"/>
    <w:rsid w:val="00CF0A59"/>
    <w:rsid w:val="00D030F8"/>
    <w:rsid w:val="00D0557F"/>
    <w:rsid w:val="00D0756F"/>
    <w:rsid w:val="00D15733"/>
    <w:rsid w:val="00D3329E"/>
    <w:rsid w:val="00D37BEB"/>
    <w:rsid w:val="00D43D49"/>
    <w:rsid w:val="00D549C4"/>
    <w:rsid w:val="00D610E6"/>
    <w:rsid w:val="00D65599"/>
    <w:rsid w:val="00D74029"/>
    <w:rsid w:val="00D845FA"/>
    <w:rsid w:val="00D851C5"/>
    <w:rsid w:val="00D933C6"/>
    <w:rsid w:val="00D962EC"/>
    <w:rsid w:val="00DA3D07"/>
    <w:rsid w:val="00DB11ED"/>
    <w:rsid w:val="00DC0A97"/>
    <w:rsid w:val="00DC658E"/>
    <w:rsid w:val="00DE1A8B"/>
    <w:rsid w:val="00E01A21"/>
    <w:rsid w:val="00E12557"/>
    <w:rsid w:val="00E163E5"/>
    <w:rsid w:val="00E233BC"/>
    <w:rsid w:val="00E31079"/>
    <w:rsid w:val="00E32F73"/>
    <w:rsid w:val="00E455C6"/>
    <w:rsid w:val="00E45FCB"/>
    <w:rsid w:val="00E45FD7"/>
    <w:rsid w:val="00E472F9"/>
    <w:rsid w:val="00E73E16"/>
    <w:rsid w:val="00E74B99"/>
    <w:rsid w:val="00E8498D"/>
    <w:rsid w:val="00E910E3"/>
    <w:rsid w:val="00E9337A"/>
    <w:rsid w:val="00E9659C"/>
    <w:rsid w:val="00EA3556"/>
    <w:rsid w:val="00EA62F8"/>
    <w:rsid w:val="00EB1119"/>
    <w:rsid w:val="00EB30EA"/>
    <w:rsid w:val="00EB63DC"/>
    <w:rsid w:val="00EC0813"/>
    <w:rsid w:val="00ED75B8"/>
    <w:rsid w:val="00EF0772"/>
    <w:rsid w:val="00EF1818"/>
    <w:rsid w:val="00EF2EF2"/>
    <w:rsid w:val="00EF4CAE"/>
    <w:rsid w:val="00F0437F"/>
    <w:rsid w:val="00F13A0D"/>
    <w:rsid w:val="00F1632C"/>
    <w:rsid w:val="00F22D40"/>
    <w:rsid w:val="00F30691"/>
    <w:rsid w:val="00F31FD2"/>
    <w:rsid w:val="00F369B8"/>
    <w:rsid w:val="00F4191E"/>
    <w:rsid w:val="00F57AF2"/>
    <w:rsid w:val="00F61B5C"/>
    <w:rsid w:val="00F71F04"/>
    <w:rsid w:val="00F769DF"/>
    <w:rsid w:val="00F91056"/>
    <w:rsid w:val="00F93518"/>
    <w:rsid w:val="00FA02B5"/>
    <w:rsid w:val="00FB07AE"/>
    <w:rsid w:val="00FB1C20"/>
    <w:rsid w:val="00FC2299"/>
    <w:rsid w:val="00FD4C0C"/>
    <w:rsid w:val="00FD5047"/>
    <w:rsid w:val="00FE7EF0"/>
    <w:rsid w:val="00FF5453"/>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
    <w:basedOn w:val="Normal"/>
    <w:link w:val="ListParagraphChar"/>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
    <w:link w:val="ListParagraph"/>
    <w:locked/>
    <w:rsid w:val="00754DB3"/>
    <w:rPr>
      <w:rFonts w:ascii="Cambria" w:eastAsia="Cambria" w:hAnsi="Cambria" w:cs="Times New Roman"/>
      <w:sz w:val="24"/>
      <w:szCs w:val="24"/>
    </w:rPr>
  </w:style>
  <w:style w:type="character" w:styleId="Emphasis">
    <w:name w:val="Emphasis"/>
    <w:qFormat/>
    <w:rsid w:val="00E96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ettings" Target="settings.xml"/><Relationship Id="rId7" Type="http://schemas.openxmlformats.org/officeDocument/2006/relationships/hyperlink" Target="http://iub.gov.lv/lv/iubcpv/parent/9101/clasif/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Sandra Kursīte</cp:lastModifiedBy>
  <cp:revision>167</cp:revision>
  <cp:lastPrinted>2017-06-28T12:39:00Z</cp:lastPrinted>
  <dcterms:created xsi:type="dcterms:W3CDTF">2016-10-10T09:02:00Z</dcterms:created>
  <dcterms:modified xsi:type="dcterms:W3CDTF">2017-07-20T07:26:00Z</dcterms:modified>
</cp:coreProperties>
</file>