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AE" w:rsidRPr="007C7357" w:rsidRDefault="00391387" w:rsidP="002C4E9E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7C7357">
        <w:rPr>
          <w:rFonts w:ascii="Times New Roman" w:hAnsi="Times New Roman"/>
          <w:b/>
          <w:sz w:val="22"/>
          <w:szCs w:val="22"/>
        </w:rPr>
        <w:t>LĒMUMS</w:t>
      </w:r>
    </w:p>
    <w:p w:rsidR="008F1BAE" w:rsidRPr="007C7357" w:rsidRDefault="008F1BAE" w:rsidP="008F1BAE">
      <w:pPr>
        <w:jc w:val="center"/>
        <w:rPr>
          <w:rFonts w:ascii="Times New Roman" w:hAnsi="Times New Roman"/>
          <w:sz w:val="22"/>
          <w:szCs w:val="22"/>
        </w:rPr>
      </w:pPr>
      <w:r w:rsidRPr="007C7357">
        <w:rPr>
          <w:rFonts w:ascii="Times New Roman" w:hAnsi="Times New Roman"/>
          <w:b/>
          <w:sz w:val="22"/>
          <w:szCs w:val="22"/>
        </w:rPr>
        <w:t>p</w:t>
      </w:r>
      <w:r w:rsidRPr="007C7357">
        <w:rPr>
          <w:rFonts w:ascii="Times New Roman" w:hAnsi="Times New Roman"/>
          <w:b/>
          <w:bCs/>
          <w:sz w:val="22"/>
          <w:szCs w:val="22"/>
        </w:rPr>
        <w:t>ar rezultātiem</w:t>
      </w:r>
    </w:p>
    <w:p w:rsidR="008F1BAE" w:rsidRPr="007C7357" w:rsidRDefault="008F1BAE" w:rsidP="007F1D8D">
      <w:pPr>
        <w:jc w:val="center"/>
        <w:rPr>
          <w:rFonts w:ascii="Times New Roman" w:hAnsi="Times New Roman"/>
          <w:sz w:val="22"/>
          <w:szCs w:val="22"/>
        </w:rPr>
      </w:pPr>
    </w:p>
    <w:p w:rsidR="00391387" w:rsidRPr="007C7357" w:rsidRDefault="00391387" w:rsidP="007F1D8D">
      <w:pPr>
        <w:jc w:val="center"/>
        <w:rPr>
          <w:rFonts w:ascii="Times New Roman" w:hAnsi="Times New Roman"/>
          <w:sz w:val="22"/>
          <w:szCs w:val="22"/>
        </w:rPr>
      </w:pPr>
      <w:r w:rsidRPr="007C7357">
        <w:rPr>
          <w:rFonts w:ascii="Times New Roman" w:hAnsi="Times New Roman"/>
          <w:sz w:val="22"/>
          <w:szCs w:val="22"/>
        </w:rPr>
        <w:t>Publisko iepirkumu likuma 8.</w:t>
      </w:r>
      <w:r w:rsidRPr="007C7357">
        <w:rPr>
          <w:rFonts w:ascii="Times New Roman" w:hAnsi="Times New Roman"/>
          <w:sz w:val="22"/>
          <w:szCs w:val="22"/>
          <w:vertAlign w:val="superscript"/>
        </w:rPr>
        <w:t>2</w:t>
      </w:r>
      <w:r w:rsidRPr="007C7357">
        <w:rPr>
          <w:rFonts w:ascii="Times New Roman" w:hAnsi="Times New Roman"/>
          <w:sz w:val="22"/>
          <w:szCs w:val="22"/>
        </w:rPr>
        <w:t xml:space="preserve"> panta kārtībā veiktajā iepirkum</w:t>
      </w:r>
      <w:r w:rsidR="000F76E2" w:rsidRPr="007C7357">
        <w:rPr>
          <w:rFonts w:ascii="Times New Roman" w:hAnsi="Times New Roman"/>
          <w:sz w:val="22"/>
          <w:szCs w:val="22"/>
        </w:rPr>
        <w:t>ā</w:t>
      </w:r>
    </w:p>
    <w:p w:rsidR="00EF0772" w:rsidRPr="007C7357" w:rsidRDefault="00EF0772" w:rsidP="00EF0772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7C7357">
        <w:rPr>
          <w:rFonts w:ascii="Times New Roman" w:hAnsi="Times New Roman"/>
          <w:b/>
          <w:bCs/>
          <w:iCs/>
          <w:sz w:val="22"/>
          <w:szCs w:val="22"/>
        </w:rPr>
        <w:t>„</w:t>
      </w:r>
      <w:proofErr w:type="spellStart"/>
      <w:r w:rsidR="00FE28BF">
        <w:rPr>
          <w:rFonts w:ascii="Times New Roman" w:eastAsia="Times New Roman" w:hAnsi="Times New Roman"/>
          <w:b/>
          <w:color w:val="000000"/>
          <w:sz w:val="22"/>
          <w:szCs w:val="22"/>
          <w:lang w:val="en-GB"/>
        </w:rPr>
        <w:t>Klīnisko</w:t>
      </w:r>
      <w:proofErr w:type="spellEnd"/>
      <w:r w:rsidR="00FE28BF">
        <w:rPr>
          <w:rFonts w:ascii="Times New Roman" w:eastAsia="Times New Roman" w:hAnsi="Times New Roman"/>
          <w:b/>
          <w:color w:val="000000"/>
          <w:sz w:val="22"/>
          <w:szCs w:val="22"/>
          <w:lang w:val="en-GB"/>
        </w:rPr>
        <w:t xml:space="preserve"> </w:t>
      </w:r>
      <w:proofErr w:type="spellStart"/>
      <w:r w:rsidR="00FE28BF">
        <w:rPr>
          <w:rFonts w:ascii="Times New Roman" w:eastAsia="Times New Roman" w:hAnsi="Times New Roman"/>
          <w:b/>
          <w:color w:val="000000"/>
          <w:sz w:val="22"/>
          <w:szCs w:val="22"/>
          <w:lang w:val="en-GB"/>
        </w:rPr>
        <w:t>mēbeļu</w:t>
      </w:r>
      <w:proofErr w:type="spellEnd"/>
      <w:r w:rsidR="00FE28BF">
        <w:rPr>
          <w:rFonts w:ascii="Times New Roman" w:eastAsia="Times New Roman" w:hAnsi="Times New Roman"/>
          <w:b/>
          <w:color w:val="000000"/>
          <w:sz w:val="22"/>
          <w:szCs w:val="22"/>
          <w:lang w:val="en-GB"/>
        </w:rPr>
        <w:t xml:space="preserve"> </w:t>
      </w:r>
      <w:proofErr w:type="spellStart"/>
      <w:r w:rsidR="00FE28BF">
        <w:rPr>
          <w:rFonts w:ascii="Times New Roman" w:eastAsia="Times New Roman" w:hAnsi="Times New Roman"/>
          <w:b/>
          <w:color w:val="000000"/>
          <w:sz w:val="22"/>
          <w:szCs w:val="22"/>
          <w:lang w:val="en-GB"/>
        </w:rPr>
        <w:t>iegāde</w:t>
      </w:r>
      <w:proofErr w:type="spellEnd"/>
      <w:r w:rsidRPr="007C7357">
        <w:rPr>
          <w:rFonts w:ascii="Times New Roman" w:hAnsi="Times New Roman"/>
          <w:b/>
          <w:bCs/>
          <w:iCs/>
          <w:sz w:val="22"/>
          <w:szCs w:val="22"/>
        </w:rPr>
        <w:t>”</w:t>
      </w:r>
    </w:p>
    <w:p w:rsidR="003326E9" w:rsidRPr="007C7357" w:rsidRDefault="00540A54" w:rsidP="00EF0772">
      <w:pPr>
        <w:jc w:val="center"/>
        <w:rPr>
          <w:rFonts w:ascii="Times New Roman" w:hAnsi="Times New Roman"/>
          <w:b/>
          <w:sz w:val="22"/>
          <w:szCs w:val="22"/>
        </w:rPr>
      </w:pPr>
      <w:r w:rsidRPr="007C7357">
        <w:rPr>
          <w:rFonts w:ascii="Times New Roman" w:hAnsi="Times New Roman"/>
          <w:b/>
          <w:sz w:val="22"/>
          <w:szCs w:val="22"/>
        </w:rPr>
        <w:t>Iepirkuma identifikācijas Nr.</w:t>
      </w:r>
      <w:r w:rsidR="00391387" w:rsidRPr="007C7357">
        <w:rPr>
          <w:rFonts w:ascii="Times New Roman" w:hAnsi="Times New Roman"/>
          <w:b/>
          <w:sz w:val="22"/>
          <w:szCs w:val="22"/>
        </w:rPr>
        <w:t xml:space="preserve">: </w:t>
      </w:r>
      <w:r w:rsidR="00EF0772" w:rsidRPr="007C7357">
        <w:rPr>
          <w:rFonts w:ascii="Times New Roman" w:hAnsi="Times New Roman"/>
          <w:b/>
          <w:sz w:val="22"/>
          <w:szCs w:val="22"/>
        </w:rPr>
        <w:t xml:space="preserve">LU </w:t>
      </w:r>
      <w:r w:rsidR="0093697B" w:rsidRPr="007C7357">
        <w:rPr>
          <w:rFonts w:ascii="Times New Roman" w:hAnsi="Times New Roman"/>
          <w:b/>
          <w:sz w:val="22"/>
          <w:szCs w:val="22"/>
        </w:rPr>
        <w:t>2016/</w:t>
      </w:r>
      <w:r w:rsidR="00FE28BF">
        <w:rPr>
          <w:rFonts w:ascii="Times New Roman" w:hAnsi="Times New Roman"/>
          <w:b/>
          <w:sz w:val="22"/>
          <w:szCs w:val="22"/>
        </w:rPr>
        <w:t>45</w:t>
      </w:r>
      <w:r w:rsidR="0093697B" w:rsidRPr="007C7357">
        <w:rPr>
          <w:rFonts w:ascii="Times New Roman" w:hAnsi="Times New Roman"/>
          <w:b/>
          <w:sz w:val="22"/>
          <w:szCs w:val="22"/>
        </w:rPr>
        <w:t>_I</w:t>
      </w:r>
    </w:p>
    <w:p w:rsidR="00EF0772" w:rsidRPr="007C7357" w:rsidRDefault="00EF0772" w:rsidP="00EF0772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3F17" w:rsidRPr="007C7357" w:rsidRDefault="00763F17" w:rsidP="00EF0772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DB11ED" w:rsidRPr="007C7357" w:rsidRDefault="00763F17" w:rsidP="007F1D8D">
      <w:pPr>
        <w:jc w:val="both"/>
        <w:rPr>
          <w:rFonts w:ascii="Times New Roman" w:hAnsi="Times New Roman"/>
          <w:bCs/>
          <w:sz w:val="22"/>
          <w:szCs w:val="22"/>
        </w:rPr>
      </w:pPr>
      <w:r w:rsidRPr="007C7357">
        <w:rPr>
          <w:rFonts w:ascii="Times New Roman" w:hAnsi="Times New Roman"/>
          <w:bCs/>
          <w:sz w:val="22"/>
          <w:szCs w:val="22"/>
        </w:rPr>
        <w:t>Rīgā</w:t>
      </w:r>
      <w:r w:rsidR="00B866B0" w:rsidRPr="007C7357">
        <w:rPr>
          <w:rFonts w:ascii="Times New Roman" w:hAnsi="Times New Roman"/>
          <w:bCs/>
          <w:sz w:val="22"/>
          <w:szCs w:val="22"/>
        </w:rPr>
        <w:t xml:space="preserve"> </w:t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F608DB" w:rsidRPr="007C7357">
        <w:rPr>
          <w:rFonts w:ascii="Times New Roman" w:hAnsi="Times New Roman"/>
          <w:bCs/>
          <w:sz w:val="22"/>
          <w:szCs w:val="22"/>
        </w:rPr>
        <w:t xml:space="preserve">         </w:t>
      </w:r>
      <w:r w:rsidRPr="007C7357">
        <w:rPr>
          <w:rFonts w:ascii="Times New Roman" w:hAnsi="Times New Roman"/>
          <w:bCs/>
          <w:sz w:val="22"/>
          <w:szCs w:val="22"/>
        </w:rPr>
        <w:t xml:space="preserve"> </w:t>
      </w:r>
      <w:r w:rsidR="0093697B" w:rsidRPr="007C7357">
        <w:rPr>
          <w:rFonts w:ascii="Times New Roman" w:hAnsi="Times New Roman"/>
          <w:bCs/>
          <w:sz w:val="22"/>
          <w:szCs w:val="22"/>
        </w:rPr>
        <w:t>2016</w:t>
      </w:r>
      <w:r w:rsidR="00F608DB" w:rsidRPr="007C7357">
        <w:rPr>
          <w:rFonts w:ascii="Times New Roman" w:hAnsi="Times New Roman"/>
          <w:bCs/>
          <w:sz w:val="22"/>
          <w:szCs w:val="22"/>
        </w:rPr>
        <w:t>.</w:t>
      </w:r>
      <w:r w:rsidR="00AE056A" w:rsidRPr="007C7357">
        <w:rPr>
          <w:rFonts w:ascii="Times New Roman" w:hAnsi="Times New Roman"/>
          <w:bCs/>
          <w:sz w:val="22"/>
          <w:szCs w:val="22"/>
        </w:rPr>
        <w:t xml:space="preserve">gada </w:t>
      </w:r>
      <w:r w:rsidR="00FE28BF">
        <w:rPr>
          <w:rFonts w:ascii="Times New Roman" w:hAnsi="Times New Roman"/>
          <w:bCs/>
          <w:sz w:val="22"/>
          <w:szCs w:val="22"/>
        </w:rPr>
        <w:t>15</w:t>
      </w:r>
      <w:r w:rsidR="0093697B" w:rsidRPr="007C7357">
        <w:rPr>
          <w:rFonts w:ascii="Times New Roman" w:hAnsi="Times New Roman"/>
          <w:bCs/>
          <w:sz w:val="22"/>
          <w:szCs w:val="22"/>
        </w:rPr>
        <w:t>.</w:t>
      </w:r>
      <w:r w:rsidR="002D6C30">
        <w:rPr>
          <w:rFonts w:ascii="Times New Roman" w:hAnsi="Times New Roman"/>
          <w:bCs/>
          <w:sz w:val="22"/>
          <w:szCs w:val="22"/>
        </w:rPr>
        <w:t>jūlijā</w:t>
      </w:r>
    </w:p>
    <w:p w:rsidR="00763F17" w:rsidRPr="007C7357" w:rsidRDefault="00763F17" w:rsidP="007F1D8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326E9" w:rsidRPr="007C7357" w:rsidRDefault="003326E9" w:rsidP="007F1D8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8F1BAE" w:rsidRPr="007C7357" w:rsidRDefault="00540A54" w:rsidP="008F1BAE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sz w:val="22"/>
          <w:szCs w:val="22"/>
          <w:lang w:eastAsia="lv-LV"/>
        </w:rPr>
        <w:t>Pasūtītājs</w:t>
      </w:r>
      <w:r w:rsidR="003326E9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:</w:t>
      </w:r>
      <w:r w:rsidR="00DB11ED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r w:rsidR="00807C5E" w:rsidRPr="007C7357">
        <w:rPr>
          <w:rFonts w:ascii="Times New Roman" w:eastAsia="Times New Roman" w:hAnsi="Times New Roman"/>
          <w:sz w:val="22"/>
          <w:szCs w:val="22"/>
          <w:lang w:eastAsia="lv-LV"/>
        </w:rPr>
        <w:t>Latvijas U</w:t>
      </w:r>
      <w:r w:rsidR="00DB11ED" w:rsidRPr="007C7357">
        <w:rPr>
          <w:rFonts w:ascii="Times New Roman" w:eastAsia="Times New Roman" w:hAnsi="Times New Roman"/>
          <w:sz w:val="22"/>
          <w:szCs w:val="22"/>
          <w:lang w:eastAsia="lv-LV"/>
        </w:rPr>
        <w:t xml:space="preserve">niversitāte, izglītības iestādes reģistrācijas Nr. </w:t>
      </w:r>
      <w:r w:rsidR="00807C5E" w:rsidRPr="007C7357">
        <w:rPr>
          <w:rFonts w:ascii="Times New Roman" w:hAnsi="Times New Roman"/>
          <w:sz w:val="22"/>
          <w:szCs w:val="22"/>
        </w:rPr>
        <w:t>3341000218</w:t>
      </w:r>
      <w:r w:rsidRPr="007C7357">
        <w:rPr>
          <w:rFonts w:ascii="Times New Roman" w:eastAsia="Times New Roman" w:hAnsi="Times New Roman"/>
          <w:sz w:val="22"/>
          <w:szCs w:val="22"/>
          <w:lang w:eastAsia="lv-LV"/>
        </w:rPr>
        <w:t xml:space="preserve">, juridiskā adrese </w:t>
      </w:r>
      <w:r w:rsidRPr="007C7357">
        <w:rPr>
          <w:rFonts w:ascii="Times New Roman" w:eastAsia="Times New Roman" w:hAnsi="Times New Roman"/>
          <w:sz w:val="22"/>
          <w:szCs w:val="22"/>
        </w:rPr>
        <w:t>Raiņa bulvāris 19, Rīga, LV-1586.</w:t>
      </w:r>
    </w:p>
    <w:p w:rsidR="008F1BAE" w:rsidRPr="007C7357" w:rsidRDefault="008F1BAE" w:rsidP="004A5B52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Iepirkuma komisija: </w:t>
      </w:r>
      <w:r w:rsidRPr="007C7357">
        <w:rPr>
          <w:rFonts w:ascii="Times New Roman" w:hAnsi="Times New Roman"/>
          <w:sz w:val="22"/>
          <w:szCs w:val="22"/>
        </w:rPr>
        <w:t xml:space="preserve">ar Latvijas Universitātes </w:t>
      </w:r>
      <w:r w:rsidR="0093697B" w:rsidRPr="007C7357">
        <w:rPr>
          <w:rFonts w:ascii="Times New Roman" w:hAnsi="Times New Roman"/>
          <w:sz w:val="22"/>
          <w:szCs w:val="22"/>
        </w:rPr>
        <w:t>2016. gada 22. februāra LU rīkojumu Nr. 1/86 “Par L</w:t>
      </w:r>
      <w:r w:rsidR="00F608DB" w:rsidRPr="007C7357">
        <w:rPr>
          <w:rFonts w:ascii="Times New Roman" w:hAnsi="Times New Roman"/>
          <w:sz w:val="22"/>
          <w:szCs w:val="22"/>
        </w:rPr>
        <w:t xml:space="preserve">atvijas </w:t>
      </w:r>
      <w:r w:rsidR="0093697B" w:rsidRPr="007C7357">
        <w:rPr>
          <w:rFonts w:ascii="Times New Roman" w:hAnsi="Times New Roman"/>
          <w:sz w:val="22"/>
          <w:szCs w:val="22"/>
        </w:rPr>
        <w:t>U</w:t>
      </w:r>
      <w:r w:rsidR="00F608DB" w:rsidRPr="007C7357">
        <w:rPr>
          <w:rFonts w:ascii="Times New Roman" w:hAnsi="Times New Roman"/>
          <w:sz w:val="22"/>
          <w:szCs w:val="22"/>
        </w:rPr>
        <w:t>niversitātes</w:t>
      </w:r>
      <w:r w:rsidR="0093697B" w:rsidRPr="007C7357">
        <w:rPr>
          <w:rFonts w:ascii="Times New Roman" w:hAnsi="Times New Roman"/>
          <w:sz w:val="22"/>
          <w:szCs w:val="22"/>
        </w:rPr>
        <w:t xml:space="preserve"> iepirkumu komisiju sastāviem”</w:t>
      </w:r>
      <w:r w:rsidRPr="007C7357">
        <w:rPr>
          <w:rFonts w:ascii="Times New Roman" w:hAnsi="Times New Roman"/>
          <w:sz w:val="22"/>
          <w:szCs w:val="22"/>
        </w:rPr>
        <w:t xml:space="preserve"> izveidota Latvijas Universitātes </w:t>
      </w:r>
      <w:r w:rsidR="0093697B" w:rsidRPr="007C7357">
        <w:rPr>
          <w:rFonts w:ascii="Times New Roman" w:hAnsi="Times New Roman"/>
          <w:sz w:val="22"/>
          <w:szCs w:val="22"/>
        </w:rPr>
        <w:t>Zinātniskās darbības nodrošinājuma</w:t>
      </w:r>
      <w:r w:rsidRPr="007C7357">
        <w:rPr>
          <w:rFonts w:ascii="Times New Roman" w:hAnsi="Times New Roman"/>
          <w:sz w:val="22"/>
          <w:szCs w:val="22"/>
        </w:rPr>
        <w:t xml:space="preserve"> iepirkumu komisija.</w:t>
      </w:r>
    </w:p>
    <w:p w:rsidR="003326E9" w:rsidRPr="007C7357" w:rsidRDefault="003326E9" w:rsidP="0093697B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hAnsi="Times New Roman"/>
          <w:sz w:val="22"/>
          <w:szCs w:val="22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Iepirkuma priekšmets:</w:t>
      </w:r>
      <w:r w:rsidR="002D6C30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="00FE28BF">
        <w:rPr>
          <w:rFonts w:ascii="Times New Roman" w:eastAsia="Times New Roman" w:hAnsi="Times New Roman"/>
          <w:color w:val="000000"/>
          <w:sz w:val="22"/>
          <w:szCs w:val="22"/>
        </w:rPr>
        <w:t>Klīnisko mēbeļu iegāde</w:t>
      </w:r>
      <w:r w:rsidR="000F76E2" w:rsidRPr="007C7357">
        <w:rPr>
          <w:rFonts w:ascii="Times New Roman" w:hAnsi="Times New Roman"/>
          <w:sz w:val="22"/>
          <w:szCs w:val="22"/>
        </w:rPr>
        <w:t>.</w:t>
      </w:r>
    </w:p>
    <w:p w:rsidR="00EF0772" w:rsidRPr="007C7357" w:rsidRDefault="008F1BAE" w:rsidP="0093697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CPV nomenklatūras kods: </w:t>
      </w:r>
      <w:r w:rsidR="00FE28BF">
        <w:rPr>
          <w:rFonts w:ascii="Times New Roman" w:eastAsia="Times New Roman" w:hAnsi="Times New Roman"/>
          <w:bCs/>
          <w:sz w:val="22"/>
          <w:szCs w:val="22"/>
          <w:lang w:eastAsia="lv-LV"/>
        </w:rPr>
        <w:t>39100000-3(Mēbeles), papildus CPV kods: 44115210-4</w:t>
      </w:r>
      <w:r w:rsidR="0093697B" w:rsidRPr="007C7357">
        <w:rPr>
          <w:rFonts w:ascii="Times New Roman" w:hAnsi="Times New Roman"/>
          <w:sz w:val="22"/>
          <w:szCs w:val="22"/>
        </w:rPr>
        <w:t>.</w:t>
      </w:r>
    </w:p>
    <w:p w:rsidR="008F1BAE" w:rsidRPr="007C7357" w:rsidRDefault="008F1BAE" w:rsidP="0093697B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Piedāvājuma izvēles kritērijs: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r w:rsidR="0093697B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Piedāvājums atbilst Nolikumā izvirzītajām prasībām un ir piedāvājums ar viszemāko cenu (EUR bez PVN)</w:t>
      </w:r>
      <w:r w:rsidR="0089140D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.</w:t>
      </w:r>
    </w:p>
    <w:p w:rsidR="008F1BAE" w:rsidRPr="007C7357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smartTag w:uri="schemas-tilde-lv/tildestengine" w:element="phone">
        <w:smartTagPr>
          <w:attr w:name="baseform" w:val="Paziņojums"/>
          <w:attr w:name="id" w:val="-1"/>
          <w:attr w:name="text" w:val="Paziņojums"/>
        </w:smartTagPr>
        <w:r w:rsidRPr="007C7357">
          <w:rPr>
            <w:rFonts w:ascii="Times New Roman" w:eastAsia="Times New Roman" w:hAnsi="Times New Roman"/>
            <w:b/>
            <w:bCs/>
            <w:sz w:val="22"/>
            <w:szCs w:val="22"/>
            <w:lang w:eastAsia="lv-LV"/>
          </w:rPr>
          <w:t>Paziņojums</w:t>
        </w:r>
      </w:smartTag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par plānoto </w:t>
      </w:r>
      <w:smartTag w:uri="schemas-tilde-lv/tildestengine" w:element="phone">
        <w:smartTagPr>
          <w:attr w:name="baseform" w:val="līgum|s"/>
          <w:attr w:name="id" w:val="-1"/>
          <w:attr w:name="text" w:val="līgumu"/>
        </w:smartTagPr>
        <w:r w:rsidRPr="007C7357">
          <w:rPr>
            <w:rFonts w:ascii="Times New Roman" w:eastAsia="Times New Roman" w:hAnsi="Times New Roman"/>
            <w:b/>
            <w:bCs/>
            <w:sz w:val="22"/>
            <w:szCs w:val="22"/>
            <w:lang w:eastAsia="lv-LV"/>
          </w:rPr>
          <w:t>līgumu</w:t>
        </w:r>
      </w:smartTag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publicēts </w:t>
      </w:r>
      <w:r w:rsidR="008F1BAE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Iepirkumu uzraudzības biroja </w:t>
      </w:r>
      <w:proofErr w:type="spellStart"/>
      <w:r w:rsidR="008F1BAE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mājaslapā</w:t>
      </w:r>
      <w:proofErr w:type="spellEnd"/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(</w:t>
      </w:r>
      <w:hyperlink r:id="rId8" w:history="1">
        <w:r w:rsidRPr="007C7357">
          <w:rPr>
            <w:rFonts w:ascii="Times New Roman" w:eastAsia="Times New Roman" w:hAnsi="Times New Roman"/>
            <w:b/>
            <w:bCs/>
            <w:color w:val="000000"/>
            <w:sz w:val="22"/>
            <w:szCs w:val="22"/>
            <w:lang w:eastAsia="lv-LV"/>
          </w:rPr>
          <w:t>www.iub.gov.lv</w:t>
        </w:r>
      </w:hyperlink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):</w:t>
      </w:r>
      <w:r w:rsidR="00DB11ED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="0093697B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2016</w:t>
      </w:r>
      <w:r w:rsidR="00EF0772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. gada </w:t>
      </w:r>
      <w:r w:rsidR="00FE28BF">
        <w:rPr>
          <w:rFonts w:ascii="Times New Roman" w:eastAsia="Times New Roman" w:hAnsi="Times New Roman"/>
          <w:bCs/>
          <w:sz w:val="22"/>
          <w:szCs w:val="22"/>
          <w:lang w:eastAsia="lv-LV"/>
        </w:rPr>
        <w:t>1</w:t>
      </w:r>
      <w:r w:rsidR="008F1BAE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.</w:t>
      </w:r>
      <w:r w:rsidR="00FE28BF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jūl</w:t>
      </w:r>
      <w:r w:rsidR="002D6C30">
        <w:rPr>
          <w:rFonts w:ascii="Times New Roman" w:eastAsia="Times New Roman" w:hAnsi="Times New Roman"/>
          <w:bCs/>
          <w:sz w:val="22"/>
          <w:szCs w:val="22"/>
          <w:lang w:eastAsia="lv-LV"/>
        </w:rPr>
        <w:t>ijā</w:t>
      </w:r>
      <w:r w:rsidR="000F76E2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.</w:t>
      </w:r>
    </w:p>
    <w:p w:rsidR="003326E9" w:rsidRPr="007C7357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Pretendenti, kuri </w:t>
      </w:r>
      <w:r w:rsidR="0093697B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līdz </w:t>
      </w:r>
      <w:r w:rsidR="009F2AFF" w:rsidRPr="007C7357">
        <w:rPr>
          <w:rFonts w:ascii="Times New Roman" w:hAnsi="Times New Roman"/>
          <w:bCs/>
          <w:sz w:val="22"/>
          <w:szCs w:val="22"/>
        </w:rPr>
        <w:t xml:space="preserve">2016.gada </w:t>
      </w:r>
      <w:r w:rsidR="00FE28BF">
        <w:rPr>
          <w:rFonts w:ascii="Times New Roman" w:hAnsi="Times New Roman"/>
          <w:bCs/>
          <w:sz w:val="22"/>
          <w:szCs w:val="22"/>
        </w:rPr>
        <w:t>12</w:t>
      </w:r>
      <w:r w:rsidR="009F2AFF" w:rsidRPr="007C7357">
        <w:rPr>
          <w:rFonts w:ascii="Times New Roman" w:hAnsi="Times New Roman"/>
          <w:bCs/>
          <w:sz w:val="22"/>
          <w:szCs w:val="22"/>
        </w:rPr>
        <w:t>.</w:t>
      </w:r>
      <w:r w:rsidR="00FE28BF">
        <w:rPr>
          <w:rFonts w:ascii="Times New Roman" w:hAnsi="Times New Roman"/>
          <w:bCs/>
          <w:sz w:val="22"/>
          <w:szCs w:val="22"/>
        </w:rPr>
        <w:t>jūlijam</w:t>
      </w:r>
      <w:r w:rsidR="009F2AFF" w:rsidRPr="007C7357">
        <w:rPr>
          <w:rFonts w:ascii="Times New Roman" w:hAnsi="Times New Roman"/>
          <w:bCs/>
          <w:sz w:val="22"/>
          <w:szCs w:val="22"/>
        </w:rPr>
        <w:t>, plkst. 1</w:t>
      </w:r>
      <w:r w:rsidR="00A60124" w:rsidRPr="007C7357">
        <w:rPr>
          <w:rFonts w:ascii="Times New Roman" w:hAnsi="Times New Roman"/>
          <w:bCs/>
          <w:sz w:val="22"/>
          <w:szCs w:val="22"/>
        </w:rPr>
        <w:t>1</w:t>
      </w:r>
      <w:r w:rsidR="009F2AFF" w:rsidRPr="007C7357">
        <w:rPr>
          <w:rFonts w:ascii="Times New Roman" w:hAnsi="Times New Roman"/>
          <w:bCs/>
          <w:sz w:val="22"/>
          <w:szCs w:val="22"/>
        </w:rPr>
        <w:t xml:space="preserve">:00 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iesniedza piedāvājumus:</w:t>
      </w:r>
    </w:p>
    <w:tbl>
      <w:tblPr>
        <w:tblW w:w="4893" w:type="pct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027"/>
        <w:gridCol w:w="3710"/>
      </w:tblGrid>
      <w:tr w:rsidR="009F2AFF" w:rsidRPr="002D6C30" w:rsidTr="00A60124">
        <w:tc>
          <w:tcPr>
            <w:tcW w:w="362" w:type="pct"/>
            <w:shd w:val="clear" w:color="auto" w:fill="D0CECE"/>
            <w:vAlign w:val="center"/>
          </w:tcPr>
          <w:p w:rsidR="009F2AFF" w:rsidRPr="002D6C30" w:rsidRDefault="009F2AFF" w:rsidP="0059146E">
            <w:pPr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2D6C30">
              <w:rPr>
                <w:rFonts w:ascii="Times New Roman" w:hAnsi="Times New Roman"/>
                <w:b/>
                <w:sz w:val="22"/>
                <w:szCs w:val="22"/>
              </w:rPr>
              <w:t>Nr.</w:t>
            </w:r>
          </w:p>
          <w:p w:rsidR="009F2AFF" w:rsidRPr="002D6C30" w:rsidRDefault="009F2AFF" w:rsidP="0059146E">
            <w:pPr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2D6C30">
              <w:rPr>
                <w:rFonts w:ascii="Times New Roman" w:hAnsi="Times New Roman"/>
                <w:b/>
                <w:sz w:val="22"/>
                <w:szCs w:val="22"/>
              </w:rPr>
              <w:t>p.k.</w:t>
            </w:r>
          </w:p>
        </w:tc>
        <w:tc>
          <w:tcPr>
            <w:tcW w:w="2414" w:type="pct"/>
            <w:shd w:val="clear" w:color="auto" w:fill="D0CECE"/>
            <w:vAlign w:val="center"/>
          </w:tcPr>
          <w:p w:rsidR="009F2AFF" w:rsidRPr="002D6C30" w:rsidRDefault="009F2AFF" w:rsidP="00A60124">
            <w:pPr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2D6C30">
              <w:rPr>
                <w:rFonts w:ascii="Times New Roman" w:hAnsi="Times New Roman"/>
                <w:b/>
                <w:sz w:val="22"/>
                <w:szCs w:val="22"/>
              </w:rPr>
              <w:t>Pretendenta nosaukums</w:t>
            </w:r>
          </w:p>
        </w:tc>
        <w:tc>
          <w:tcPr>
            <w:tcW w:w="2224" w:type="pct"/>
            <w:shd w:val="clear" w:color="auto" w:fill="D0CECE"/>
            <w:vAlign w:val="center"/>
          </w:tcPr>
          <w:p w:rsidR="009F2AFF" w:rsidRPr="002D6C30" w:rsidRDefault="00FE28BF" w:rsidP="00E3094F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Kopējā cena par vienu vienību EUR bez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PVn</w:t>
            </w:r>
            <w:proofErr w:type="spellEnd"/>
          </w:p>
        </w:tc>
      </w:tr>
      <w:tr w:rsidR="00A60124" w:rsidRPr="002D6C30" w:rsidTr="00A60124">
        <w:tc>
          <w:tcPr>
            <w:tcW w:w="362" w:type="pct"/>
            <w:shd w:val="clear" w:color="auto" w:fill="auto"/>
            <w:vAlign w:val="center"/>
          </w:tcPr>
          <w:p w:rsidR="00A60124" w:rsidRPr="00FE28BF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FE28BF">
              <w:rPr>
                <w:rFonts w:ascii="Times New Roman" w:hAnsi="Times New Roman"/>
              </w:rPr>
              <w:t>1.</w:t>
            </w:r>
          </w:p>
        </w:tc>
        <w:tc>
          <w:tcPr>
            <w:tcW w:w="2414" w:type="pct"/>
            <w:shd w:val="clear" w:color="auto" w:fill="auto"/>
            <w:vAlign w:val="center"/>
          </w:tcPr>
          <w:p w:rsidR="00A60124" w:rsidRPr="00FE28BF" w:rsidRDefault="00FE28BF" w:rsidP="00A60124">
            <w:pPr>
              <w:spacing w:after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E28BF">
              <w:rPr>
                <w:rFonts w:ascii="Times New Roman" w:hAnsi="Times New Roman"/>
              </w:rPr>
              <w:t>SIA “KATE</w:t>
            </w:r>
            <w:r w:rsidR="002D6C30" w:rsidRPr="00FE28BF">
              <w:rPr>
                <w:rFonts w:ascii="Times New Roman" w:hAnsi="Times New Roman"/>
              </w:rPr>
              <w:t>”</w:t>
            </w:r>
          </w:p>
        </w:tc>
        <w:tc>
          <w:tcPr>
            <w:tcW w:w="2224" w:type="pct"/>
            <w:shd w:val="clear" w:color="auto" w:fill="auto"/>
            <w:vAlign w:val="center"/>
          </w:tcPr>
          <w:p w:rsidR="00A60124" w:rsidRPr="00FE28BF" w:rsidRDefault="00FE28BF" w:rsidP="00A6012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8BF">
              <w:rPr>
                <w:rFonts w:ascii="Times New Roman" w:hAnsi="Times New Roman"/>
              </w:rPr>
              <w:t>8 605,48</w:t>
            </w:r>
          </w:p>
        </w:tc>
      </w:tr>
      <w:tr w:rsidR="00A60124" w:rsidRPr="002D6C30" w:rsidTr="00A60124">
        <w:tc>
          <w:tcPr>
            <w:tcW w:w="362" w:type="pct"/>
            <w:shd w:val="clear" w:color="auto" w:fill="auto"/>
            <w:vAlign w:val="center"/>
          </w:tcPr>
          <w:p w:rsidR="00A60124" w:rsidRPr="00FE28BF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FE28BF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2414" w:type="pct"/>
            <w:shd w:val="clear" w:color="auto" w:fill="auto"/>
            <w:vAlign w:val="center"/>
          </w:tcPr>
          <w:p w:rsidR="00A60124" w:rsidRPr="00FE28BF" w:rsidRDefault="00FE28BF" w:rsidP="00A60124">
            <w:pPr>
              <w:spacing w:after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E28BF">
              <w:rPr>
                <w:rFonts w:ascii="Times New Roman" w:hAnsi="Times New Roman"/>
              </w:rPr>
              <w:t>SIA “Telemedica</w:t>
            </w:r>
            <w:r w:rsidR="002D6C30" w:rsidRPr="00FE28BF">
              <w:rPr>
                <w:rFonts w:ascii="Times New Roman" w:hAnsi="Times New Roman"/>
              </w:rPr>
              <w:t>”</w:t>
            </w:r>
          </w:p>
        </w:tc>
        <w:tc>
          <w:tcPr>
            <w:tcW w:w="2224" w:type="pct"/>
            <w:shd w:val="clear" w:color="auto" w:fill="auto"/>
            <w:vAlign w:val="center"/>
          </w:tcPr>
          <w:p w:rsidR="00A60124" w:rsidRPr="00FE28BF" w:rsidRDefault="00FE28BF" w:rsidP="00A6012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8BF">
              <w:rPr>
                <w:rFonts w:ascii="Times New Roman" w:hAnsi="Times New Roman"/>
              </w:rPr>
              <w:t>9 347,96</w:t>
            </w:r>
          </w:p>
        </w:tc>
      </w:tr>
    </w:tbl>
    <w:p w:rsidR="003326E9" w:rsidRPr="002D6C30" w:rsidRDefault="002466F7" w:rsidP="00A60124">
      <w:pPr>
        <w:pStyle w:val="ListParagraph"/>
        <w:numPr>
          <w:ilvl w:val="0"/>
          <w:numId w:val="3"/>
        </w:numPr>
        <w:spacing w:before="240" w:after="240" w:line="276" w:lineRule="auto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2D6C30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Piedāvājumu atbilstība N</w:t>
      </w:r>
      <w:r w:rsidR="003326E9" w:rsidRPr="002D6C30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olikumā noteiktajām prasībām</w:t>
      </w:r>
      <w:r w:rsidRPr="002D6C30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un kritērijiem</w:t>
      </w:r>
      <w:r w:rsidR="003326E9" w:rsidRPr="002D6C30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: </w:t>
      </w:r>
    </w:p>
    <w:tbl>
      <w:tblPr>
        <w:tblW w:w="492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52"/>
        <w:gridCol w:w="3073"/>
      </w:tblGrid>
      <w:tr w:rsidR="00FE28BF" w:rsidRPr="002D6C30" w:rsidTr="009C2A19">
        <w:trPr>
          <w:trHeight w:val="197"/>
        </w:trPr>
        <w:tc>
          <w:tcPr>
            <w:tcW w:w="514" w:type="pct"/>
            <w:shd w:val="clear" w:color="auto" w:fill="BFBFBF" w:themeFill="background1" w:themeFillShade="BF"/>
            <w:vAlign w:val="center"/>
          </w:tcPr>
          <w:p w:rsidR="00FE28BF" w:rsidRPr="002D6C30" w:rsidRDefault="00FE28BF" w:rsidP="00A155F8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D6C30">
              <w:rPr>
                <w:rFonts w:ascii="Times New Roman" w:hAnsi="Times New Roman"/>
                <w:b/>
                <w:sz w:val="22"/>
                <w:szCs w:val="22"/>
              </w:rPr>
              <w:t>Nr.</w:t>
            </w:r>
          </w:p>
          <w:p w:rsidR="00FE28BF" w:rsidRPr="002D6C30" w:rsidRDefault="00FE28BF" w:rsidP="00A155F8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D6C30">
              <w:rPr>
                <w:rFonts w:ascii="Times New Roman" w:hAnsi="Times New Roman"/>
                <w:b/>
                <w:sz w:val="22"/>
                <w:szCs w:val="22"/>
              </w:rPr>
              <w:t>p.k.</w:t>
            </w:r>
          </w:p>
        </w:tc>
        <w:tc>
          <w:tcPr>
            <w:tcW w:w="2654" w:type="pct"/>
            <w:shd w:val="clear" w:color="auto" w:fill="BFBFBF" w:themeFill="background1" w:themeFillShade="BF"/>
            <w:vAlign w:val="center"/>
          </w:tcPr>
          <w:p w:rsidR="00FE28BF" w:rsidRPr="00FE28BF" w:rsidRDefault="00FE28BF" w:rsidP="00F9690F">
            <w:pPr>
              <w:spacing w:after="120"/>
              <w:outlineLvl w:val="0"/>
              <w:rPr>
                <w:rFonts w:ascii="Times New Roman" w:hAnsi="Times New Roman"/>
              </w:rPr>
            </w:pPr>
            <w:r w:rsidRPr="00FE28BF">
              <w:rPr>
                <w:rFonts w:ascii="Times New Roman" w:hAnsi="Times New Roman"/>
              </w:rPr>
              <w:t>SIA “KATE”</w:t>
            </w:r>
          </w:p>
        </w:tc>
        <w:tc>
          <w:tcPr>
            <w:tcW w:w="1832" w:type="pct"/>
            <w:shd w:val="clear" w:color="auto" w:fill="BFBFBF" w:themeFill="background1" w:themeFillShade="BF"/>
            <w:vAlign w:val="center"/>
          </w:tcPr>
          <w:p w:rsidR="00FE28BF" w:rsidRPr="00FE28BF" w:rsidRDefault="00FE28BF" w:rsidP="00F9690F">
            <w:pPr>
              <w:spacing w:after="120"/>
              <w:jc w:val="center"/>
              <w:rPr>
                <w:rFonts w:ascii="Times New Roman" w:hAnsi="Times New Roman"/>
              </w:rPr>
            </w:pPr>
            <w:r w:rsidRPr="00FE28BF">
              <w:rPr>
                <w:rFonts w:ascii="Times New Roman" w:hAnsi="Times New Roman"/>
              </w:rPr>
              <w:t>Atbilst</w:t>
            </w:r>
          </w:p>
        </w:tc>
      </w:tr>
      <w:tr w:rsidR="00FE28BF" w:rsidRPr="002D6C30" w:rsidTr="00A60124">
        <w:tc>
          <w:tcPr>
            <w:tcW w:w="514" w:type="pct"/>
            <w:shd w:val="clear" w:color="auto" w:fill="auto"/>
            <w:vAlign w:val="center"/>
          </w:tcPr>
          <w:p w:rsidR="00FE28BF" w:rsidRPr="00FE28BF" w:rsidRDefault="00FE28BF" w:rsidP="00A60124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FE28BF">
              <w:rPr>
                <w:rFonts w:ascii="Times New Roman" w:hAnsi="Times New Roman"/>
              </w:rPr>
              <w:t>1.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FE28BF" w:rsidRPr="00FE28BF" w:rsidRDefault="00FE28BF" w:rsidP="00F9690F">
            <w:pPr>
              <w:spacing w:after="120"/>
              <w:outlineLvl w:val="0"/>
              <w:rPr>
                <w:rFonts w:ascii="Times New Roman" w:hAnsi="Times New Roman"/>
              </w:rPr>
            </w:pPr>
            <w:r w:rsidRPr="00FE28BF">
              <w:rPr>
                <w:rFonts w:ascii="Times New Roman" w:hAnsi="Times New Roman"/>
              </w:rPr>
              <w:t>SI</w:t>
            </w:r>
            <w:r>
              <w:rPr>
                <w:rFonts w:ascii="Times New Roman" w:hAnsi="Times New Roman"/>
              </w:rPr>
              <w:t>A “KATE</w:t>
            </w:r>
            <w:r w:rsidRPr="00FE28BF">
              <w:rPr>
                <w:rFonts w:ascii="Times New Roman" w:hAnsi="Times New Roman"/>
              </w:rPr>
              <w:t>”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FE28BF" w:rsidRPr="00FE28BF" w:rsidRDefault="00FE28BF" w:rsidP="00F9690F">
            <w:pPr>
              <w:spacing w:after="120"/>
              <w:jc w:val="center"/>
              <w:rPr>
                <w:rFonts w:ascii="Times New Roman" w:hAnsi="Times New Roman"/>
              </w:rPr>
            </w:pPr>
            <w:r w:rsidRPr="00FE28BF">
              <w:rPr>
                <w:rFonts w:ascii="Times New Roman" w:hAnsi="Times New Roman"/>
              </w:rPr>
              <w:t>Atbilst</w:t>
            </w:r>
          </w:p>
        </w:tc>
      </w:tr>
      <w:tr w:rsidR="00FE28BF" w:rsidRPr="002D6C30" w:rsidTr="00A60124">
        <w:tc>
          <w:tcPr>
            <w:tcW w:w="514" w:type="pct"/>
            <w:shd w:val="clear" w:color="auto" w:fill="auto"/>
            <w:vAlign w:val="center"/>
          </w:tcPr>
          <w:p w:rsidR="00FE28BF" w:rsidRPr="00FE28BF" w:rsidRDefault="00FE28BF" w:rsidP="00A60124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FE28BF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FE28BF" w:rsidRPr="00FE28BF" w:rsidRDefault="00FE28BF" w:rsidP="00A60124">
            <w:pPr>
              <w:spacing w:after="12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SIA „Telemedica”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FE28BF" w:rsidRPr="00FE28BF" w:rsidRDefault="00FE28BF" w:rsidP="00A60124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Atbilst</w:t>
            </w:r>
          </w:p>
        </w:tc>
      </w:tr>
    </w:tbl>
    <w:p w:rsidR="00807C5E" w:rsidRPr="007C7357" w:rsidRDefault="0089140D" w:rsidP="00A60124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eastAsia="Times New Roman" w:hAnsi="Times New Roman"/>
          <w:b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Piedāvājumi, kuros veikti aritmētisko kļūdu labojumi: 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nav.</w:t>
      </w:r>
    </w:p>
    <w:p w:rsidR="0089140D" w:rsidRPr="007C7357" w:rsidRDefault="0089140D" w:rsidP="0078481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Noraidītie pretende</w:t>
      </w:r>
      <w:r w:rsidR="00441D06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nti un to noraidīšanas iemesli:</w:t>
      </w:r>
      <w:r w:rsidR="00A60124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="00A6012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nav.</w:t>
      </w:r>
    </w:p>
    <w:p w:rsidR="00540A54" w:rsidRPr="007C7357" w:rsidRDefault="00540A54" w:rsidP="00540A5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Publisko iepirkumu likuma 8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vertAlign w:val="superscript"/>
          <w:lang w:eastAsia="lv-LV"/>
        </w:rPr>
        <w:t>2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.</w:t>
      </w:r>
      <w:r w:rsidR="00A12308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panta piektās daļas apstākļi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, kas attiecināmi uz</w:t>
      </w:r>
      <w:r w:rsidR="00B866B0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pretendentu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r w:rsidR="00763F17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SIA „</w:t>
      </w:r>
      <w:r w:rsidR="00FE28BF">
        <w:rPr>
          <w:rFonts w:ascii="Times New Roman" w:eastAsia="Times New Roman" w:hAnsi="Times New Roman"/>
          <w:bCs/>
          <w:sz w:val="22"/>
          <w:szCs w:val="22"/>
          <w:lang w:eastAsia="lv-LV"/>
        </w:rPr>
        <w:t>KATE</w:t>
      </w:r>
      <w:r w:rsidR="007C7357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”</w:t>
      </w:r>
      <w:r w:rsidR="00B866B0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nav.</w:t>
      </w:r>
    </w:p>
    <w:p w:rsidR="00434345" w:rsidRPr="007C7357" w:rsidRDefault="007156D9" w:rsidP="008B064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Ņemot vērā visu iepriekš minē</w:t>
      </w:r>
      <w:r w:rsidR="007C735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to, Komisija vienbalsīgi nolemj: 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p</w:t>
      </w:r>
      <w:r w:rsidR="006E4C5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amatojoties uz Publisko iepirkumu likuma 8</w:t>
      </w:r>
      <w:r w:rsidR="006E4C54" w:rsidRPr="007C7357">
        <w:rPr>
          <w:rFonts w:ascii="Times New Roman" w:eastAsia="Times New Roman" w:hAnsi="Times New Roman"/>
          <w:bCs/>
          <w:sz w:val="22"/>
          <w:szCs w:val="22"/>
          <w:vertAlign w:val="superscript"/>
          <w:lang w:eastAsia="lv-LV"/>
        </w:rPr>
        <w:t>2</w:t>
      </w:r>
      <w:r w:rsidR="006E4C5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. panta devīto daļu un Nolikuma </w:t>
      </w:r>
      <w:r w:rsidR="00FE28BF">
        <w:rPr>
          <w:rFonts w:ascii="Times New Roman" w:eastAsia="Times New Roman" w:hAnsi="Times New Roman"/>
          <w:bCs/>
          <w:sz w:val="22"/>
          <w:szCs w:val="22"/>
          <w:lang w:eastAsia="lv-LV"/>
        </w:rPr>
        <w:t>6.11</w:t>
      </w:r>
      <w:r w:rsidR="006E4C5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. punktu,</w:t>
      </w:r>
      <w:r w:rsidR="00434345" w:rsidRPr="007C7357">
        <w:rPr>
          <w:rFonts w:ascii="Times New Roman" w:eastAsia="Calibri" w:hAnsi="Times New Roman"/>
          <w:sz w:val="22"/>
          <w:szCs w:val="22"/>
        </w:rPr>
        <w:t xml:space="preserve"> </w:t>
      </w:r>
      <w:r w:rsidR="00434345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kā piedāvājumu ar viszemāko cenu atzīt un </w:t>
      </w:r>
      <w:r w:rsidR="007C735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Iepirkuma</w:t>
      </w:r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līguma slēgšanas tiesības</w:t>
      </w:r>
      <w:r w:rsidR="007C735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="00763F17" w:rsidRPr="007C7357">
        <w:rPr>
          <w:rFonts w:ascii="Times New Roman" w:hAnsi="Times New Roman"/>
          <w:b/>
          <w:bCs/>
          <w:sz w:val="22"/>
          <w:szCs w:val="22"/>
        </w:rPr>
        <w:t xml:space="preserve">iepirkuma </w:t>
      </w:r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piešķirt </w:t>
      </w:r>
      <w:r w:rsidR="00763F17" w:rsidRPr="007C7357">
        <w:rPr>
          <w:rFonts w:ascii="Times New Roman" w:hAnsi="Times New Roman"/>
          <w:b/>
          <w:bCs/>
          <w:sz w:val="22"/>
          <w:szCs w:val="22"/>
        </w:rPr>
        <w:t>SIA “</w:t>
      </w:r>
      <w:r w:rsidR="00FE28BF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KATE</w:t>
      </w:r>
      <w:r w:rsidR="00763F17" w:rsidRPr="007C7357">
        <w:rPr>
          <w:rFonts w:ascii="Times New Roman" w:hAnsi="Times New Roman"/>
          <w:b/>
          <w:bCs/>
          <w:sz w:val="22"/>
          <w:szCs w:val="22"/>
        </w:rPr>
        <w:t>”</w:t>
      </w:r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(</w:t>
      </w:r>
      <w:proofErr w:type="spellStart"/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reģ</w:t>
      </w:r>
      <w:proofErr w:type="spellEnd"/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. Nr. </w:t>
      </w:r>
      <w:r w:rsidR="00FE28BF">
        <w:rPr>
          <w:rFonts w:ascii="Times New Roman" w:hAnsi="Times New Roman"/>
          <w:b/>
          <w:bCs/>
          <w:sz w:val="22"/>
          <w:szCs w:val="22"/>
        </w:rPr>
        <w:t>41703006579</w:t>
      </w:r>
      <w:r w:rsidR="00763F1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, juridiskā adrese</w:t>
      </w:r>
      <w:r w:rsidR="00FE28BF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: Nīcgales iela 18a, Rīga, LV-1035</w:t>
      </w:r>
      <w:r w:rsidR="002D6C30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) </w:t>
      </w:r>
      <w:r w:rsidR="007C7357" w:rsidRPr="007C7357">
        <w:rPr>
          <w:rFonts w:ascii="Times New Roman" w:hAnsi="Times New Roman"/>
          <w:b/>
          <w:bCs/>
          <w:sz w:val="22"/>
          <w:szCs w:val="22"/>
        </w:rPr>
        <w:t>ar</w:t>
      </w:r>
      <w:r w:rsidR="00763F17" w:rsidRPr="007C735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63F17" w:rsidRPr="007C7357">
        <w:rPr>
          <w:rFonts w:ascii="Times New Roman" w:hAnsi="Times New Roman"/>
          <w:b/>
          <w:sz w:val="22"/>
          <w:szCs w:val="22"/>
        </w:rPr>
        <w:t>piedā</w:t>
      </w:r>
      <w:r w:rsidR="007C7357" w:rsidRPr="007C7357">
        <w:rPr>
          <w:rFonts w:ascii="Times New Roman" w:hAnsi="Times New Roman"/>
          <w:b/>
          <w:sz w:val="22"/>
          <w:szCs w:val="22"/>
        </w:rPr>
        <w:t>vāto</w:t>
      </w:r>
      <w:r w:rsidR="00763F17" w:rsidRPr="007C7357">
        <w:rPr>
          <w:rFonts w:ascii="Times New Roman" w:hAnsi="Times New Roman"/>
          <w:b/>
          <w:sz w:val="22"/>
          <w:szCs w:val="22"/>
        </w:rPr>
        <w:t xml:space="preserve"> cen</w:t>
      </w:r>
      <w:r w:rsidR="007C7357" w:rsidRPr="007C7357">
        <w:rPr>
          <w:rFonts w:ascii="Times New Roman" w:hAnsi="Times New Roman"/>
          <w:b/>
          <w:sz w:val="22"/>
          <w:szCs w:val="22"/>
        </w:rPr>
        <w:t>u</w:t>
      </w:r>
      <w:r w:rsidR="00763F17" w:rsidRPr="007C7357">
        <w:rPr>
          <w:rFonts w:ascii="Times New Roman" w:hAnsi="Times New Roman"/>
          <w:b/>
          <w:sz w:val="22"/>
          <w:szCs w:val="22"/>
        </w:rPr>
        <w:t xml:space="preserve"> </w:t>
      </w:r>
      <w:r w:rsidR="00FE28BF">
        <w:rPr>
          <w:rFonts w:ascii="Times New Roman" w:hAnsi="Times New Roman"/>
          <w:b/>
          <w:sz w:val="22"/>
          <w:szCs w:val="22"/>
        </w:rPr>
        <w:t>8 605,48</w:t>
      </w:r>
      <w:r w:rsidR="00763F17" w:rsidRPr="007C7357">
        <w:rPr>
          <w:rFonts w:ascii="Times New Roman" w:hAnsi="Times New Roman"/>
          <w:b/>
          <w:sz w:val="22"/>
          <w:szCs w:val="22"/>
        </w:rPr>
        <w:t xml:space="preserve"> (</w:t>
      </w:r>
      <w:r w:rsidR="00FE28BF">
        <w:rPr>
          <w:rFonts w:ascii="Times New Roman" w:hAnsi="Times New Roman"/>
          <w:b/>
          <w:sz w:val="22"/>
          <w:szCs w:val="22"/>
        </w:rPr>
        <w:t xml:space="preserve">astoņi tūkstoši seši simti pieci </w:t>
      </w:r>
      <w:proofErr w:type="spellStart"/>
      <w:r w:rsidR="00FE28BF" w:rsidRPr="00FE28BF">
        <w:rPr>
          <w:rFonts w:ascii="Times New Roman" w:hAnsi="Times New Roman"/>
          <w:b/>
          <w:i/>
          <w:sz w:val="22"/>
          <w:szCs w:val="22"/>
        </w:rPr>
        <w:t>euro</w:t>
      </w:r>
      <w:proofErr w:type="spellEnd"/>
      <w:r w:rsidR="00FE28BF">
        <w:rPr>
          <w:rFonts w:ascii="Times New Roman" w:hAnsi="Times New Roman"/>
          <w:b/>
          <w:sz w:val="22"/>
          <w:szCs w:val="22"/>
        </w:rPr>
        <w:t xml:space="preserve"> un četrdesmit astoņi </w:t>
      </w:r>
      <w:proofErr w:type="spellStart"/>
      <w:r w:rsidR="00FE28BF" w:rsidRPr="00FE28BF">
        <w:rPr>
          <w:rFonts w:ascii="Times New Roman" w:hAnsi="Times New Roman"/>
          <w:b/>
          <w:i/>
          <w:sz w:val="22"/>
          <w:szCs w:val="22"/>
        </w:rPr>
        <w:t>euro</w:t>
      </w:r>
      <w:proofErr w:type="spellEnd"/>
      <w:r w:rsidR="00FE28BF">
        <w:rPr>
          <w:rFonts w:ascii="Times New Roman" w:hAnsi="Times New Roman"/>
          <w:b/>
          <w:sz w:val="22"/>
          <w:szCs w:val="22"/>
        </w:rPr>
        <w:t xml:space="preserve"> centi</w:t>
      </w:r>
      <w:r w:rsidR="00763F17" w:rsidRPr="007C7357">
        <w:rPr>
          <w:rFonts w:ascii="Times New Roman" w:hAnsi="Times New Roman"/>
          <w:b/>
          <w:sz w:val="22"/>
          <w:szCs w:val="22"/>
        </w:rPr>
        <w:t>) EUR bez PVN</w:t>
      </w:r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. </w:t>
      </w:r>
    </w:p>
    <w:p w:rsidR="007156D9" w:rsidRPr="007C7357" w:rsidRDefault="007156D9" w:rsidP="007156D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triju darbdienu laikā informēt Pretendentus par iepirkumā izraudzīto uzvarētāju un LU mājas lapā nodrošināt brīvu un tiešu elektronisku pieeju šim lēmumam;</w:t>
      </w:r>
    </w:p>
    <w:p w:rsidR="007156D9" w:rsidRPr="007C7357" w:rsidRDefault="007156D9" w:rsidP="007156D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ne vēlāk kā piecu darbdienu laikā pēc tam, kad noslēgts iepirkuma līgums,  publicēt Iepirkumu uzraudzības biroja </w:t>
      </w:r>
      <w:proofErr w:type="spellStart"/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mājaslapā</w:t>
      </w:r>
      <w:proofErr w:type="spellEnd"/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internetā informatīvu paziņojumu par noslēgto līgumu;</w:t>
      </w:r>
    </w:p>
    <w:p w:rsidR="007156D9" w:rsidRPr="007C7357" w:rsidRDefault="007156D9" w:rsidP="007156D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lastRenderedPageBreak/>
        <w:t>ne vēlāk kā dienā, kad stājas spēkā iepirkuma līgums, LU mājas lapā ievietot iepirkuma līguma tekstu, atbilstoši normatīvajos aktos noteiktajai kārtībai ievērojot komercnoslēpuma aizsardzības prasības.</w:t>
      </w:r>
    </w:p>
    <w:p w:rsidR="007F1D8D" w:rsidRPr="007C7357" w:rsidRDefault="00E73E16" w:rsidP="006F52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Saskaņā ar Publisko iepirkumu likuma 8.</w:t>
      </w:r>
      <w:r w:rsidRPr="007C7357">
        <w:rPr>
          <w:rFonts w:ascii="Times New Roman" w:eastAsia="Times New Roman" w:hAnsi="Times New Roman"/>
          <w:bCs/>
          <w:sz w:val="22"/>
          <w:szCs w:val="22"/>
          <w:vertAlign w:val="superscript"/>
          <w:lang w:eastAsia="lv-LV"/>
        </w:rPr>
        <w:t xml:space="preserve">2 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panta astoņpadsmito daļu Pretendents, kas iesniedzis piedāvājumu Iepirkumā, un kas uzskata, ka ir aizskartas tā tiesības </w:t>
      </w:r>
      <w:r w:rsidR="00540A5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vai iespējams šo tiesību aizskārums, tas šo iepirkumu komisijas lēmumu var pārsūdzēt Administratīvajā rajona tiesā viena mēneša laikā no tā spēkā stāšanās dienas.</w:t>
      </w:r>
    </w:p>
    <w:p w:rsidR="007F1D8D" w:rsidRPr="007C7357" w:rsidRDefault="007F1D8D">
      <w:pPr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83"/>
        <w:gridCol w:w="2008"/>
        <w:gridCol w:w="2231"/>
      </w:tblGrid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Komisijas priekšsēdētājs: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9E1BC1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  <w:vAlign w:val="center"/>
          </w:tcPr>
          <w:p w:rsidR="007C7357" w:rsidRPr="007C7357" w:rsidRDefault="007C7357" w:rsidP="00A512D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/Valdis Segliņš/</w:t>
            </w: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Komisijas priekšsēdētāja vietnieks: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9E1BC1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 xml:space="preserve">/Māris </w:t>
            </w:r>
            <w:proofErr w:type="spellStart"/>
            <w:r w:rsidRPr="007C7357">
              <w:rPr>
                <w:rFonts w:ascii="Times New Roman" w:hAnsi="Times New Roman"/>
                <w:sz w:val="22"/>
                <w:szCs w:val="22"/>
              </w:rPr>
              <w:t>Vītiņš</w:t>
            </w:r>
            <w:proofErr w:type="spellEnd"/>
            <w:r w:rsidRPr="007C7357">
              <w:rPr>
                <w:rFonts w:ascii="Times New Roman" w:hAnsi="Times New Roman"/>
                <w:sz w:val="22"/>
                <w:szCs w:val="22"/>
              </w:rPr>
              <w:t xml:space="preserve">/ </w:t>
            </w: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Komisijas locekļi: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9E1BC1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 xml:space="preserve">/Uldis </w:t>
            </w:r>
            <w:proofErr w:type="spellStart"/>
            <w:r w:rsidRPr="007C7357">
              <w:rPr>
                <w:rFonts w:ascii="Times New Roman" w:hAnsi="Times New Roman"/>
                <w:sz w:val="22"/>
                <w:szCs w:val="22"/>
              </w:rPr>
              <w:t>Kondratovičs</w:t>
            </w:r>
            <w:proofErr w:type="spellEnd"/>
            <w:r w:rsidRPr="007C7357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9E1BC1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 xml:space="preserve">/Dace </w:t>
            </w:r>
            <w:proofErr w:type="spellStart"/>
            <w:r w:rsidRPr="007C7357">
              <w:rPr>
                <w:rFonts w:ascii="Times New Roman" w:hAnsi="Times New Roman"/>
                <w:sz w:val="22"/>
                <w:szCs w:val="22"/>
              </w:rPr>
              <w:t>Silarāja</w:t>
            </w:r>
            <w:proofErr w:type="spellEnd"/>
            <w:r w:rsidRPr="007C7357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9E1BC1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/Visvaldis Neimanis/</w:t>
            </w: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Komisijas sekretārs:</w:t>
            </w:r>
          </w:p>
        </w:tc>
        <w:tc>
          <w:tcPr>
            <w:tcW w:w="1178" w:type="pct"/>
            <w:tcBorders>
              <w:bottom w:val="single" w:sz="2" w:space="0" w:color="auto"/>
            </w:tcBorders>
            <w:vAlign w:val="center"/>
          </w:tcPr>
          <w:p w:rsidR="007C7357" w:rsidRPr="007C7357" w:rsidRDefault="009E1BC1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9E1BC1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/Rolands Kikors</w:t>
            </w:r>
            <w:r w:rsidR="007C7357" w:rsidRPr="007C7357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</w:tr>
    </w:tbl>
    <w:p w:rsidR="007F1D8D" w:rsidRPr="007C7357" w:rsidRDefault="007F1D8D" w:rsidP="00540A54">
      <w:pPr>
        <w:spacing w:line="360" w:lineRule="auto"/>
        <w:ind w:right="-1192"/>
        <w:rPr>
          <w:rFonts w:ascii="Times New Roman" w:hAnsi="Times New Roman"/>
          <w:sz w:val="22"/>
          <w:szCs w:val="22"/>
        </w:rPr>
      </w:pPr>
    </w:p>
    <w:sectPr w:rsidR="007F1D8D" w:rsidRPr="007C7357" w:rsidSect="006033D8">
      <w:foot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3F1" w:rsidRDefault="002333F1" w:rsidP="006033D8">
      <w:r>
        <w:separator/>
      </w:r>
    </w:p>
  </w:endnote>
  <w:endnote w:type="continuationSeparator" w:id="0">
    <w:p w:rsidR="002333F1" w:rsidRDefault="002333F1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5A4EC0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3F1" w:rsidRDefault="002333F1" w:rsidP="006033D8">
      <w:r>
        <w:separator/>
      </w:r>
    </w:p>
  </w:footnote>
  <w:footnote w:type="continuationSeparator" w:id="0">
    <w:p w:rsidR="002333F1" w:rsidRDefault="002333F1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AEE"/>
    <w:multiLevelType w:val="multilevel"/>
    <w:tmpl w:val="86E45A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561C69"/>
    <w:multiLevelType w:val="multilevel"/>
    <w:tmpl w:val="4664C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52F51D7"/>
    <w:multiLevelType w:val="hybridMultilevel"/>
    <w:tmpl w:val="8B689724"/>
    <w:lvl w:ilvl="0" w:tplc="AF54A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E9"/>
    <w:rsid w:val="00037BEB"/>
    <w:rsid w:val="00050A71"/>
    <w:rsid w:val="000F76E2"/>
    <w:rsid w:val="00115D02"/>
    <w:rsid w:val="00116E28"/>
    <w:rsid w:val="00167257"/>
    <w:rsid w:val="001F31CE"/>
    <w:rsid w:val="00212EDB"/>
    <w:rsid w:val="00220A90"/>
    <w:rsid w:val="002333F1"/>
    <w:rsid w:val="00245295"/>
    <w:rsid w:val="002453E0"/>
    <w:rsid w:val="002466F7"/>
    <w:rsid w:val="00272C93"/>
    <w:rsid w:val="002C4E9E"/>
    <w:rsid w:val="002D6C30"/>
    <w:rsid w:val="00312122"/>
    <w:rsid w:val="003326E9"/>
    <w:rsid w:val="00361A7E"/>
    <w:rsid w:val="00391387"/>
    <w:rsid w:val="003D05C2"/>
    <w:rsid w:val="003E6CE7"/>
    <w:rsid w:val="00434345"/>
    <w:rsid w:val="00441D06"/>
    <w:rsid w:val="00465086"/>
    <w:rsid w:val="004E79BC"/>
    <w:rsid w:val="00540A54"/>
    <w:rsid w:val="00586669"/>
    <w:rsid w:val="005A4EC0"/>
    <w:rsid w:val="006033D8"/>
    <w:rsid w:val="00610DC5"/>
    <w:rsid w:val="0065223C"/>
    <w:rsid w:val="00654C33"/>
    <w:rsid w:val="00662ADF"/>
    <w:rsid w:val="006E4C54"/>
    <w:rsid w:val="007156D9"/>
    <w:rsid w:val="00763F17"/>
    <w:rsid w:val="00784817"/>
    <w:rsid w:val="007A676B"/>
    <w:rsid w:val="007C7357"/>
    <w:rsid w:val="007E7FB9"/>
    <w:rsid w:val="007F1D8D"/>
    <w:rsid w:val="00807C5E"/>
    <w:rsid w:val="008352E4"/>
    <w:rsid w:val="00841610"/>
    <w:rsid w:val="0087766B"/>
    <w:rsid w:val="0089129A"/>
    <w:rsid w:val="0089140D"/>
    <w:rsid w:val="008F1BAE"/>
    <w:rsid w:val="00904E0F"/>
    <w:rsid w:val="0093697B"/>
    <w:rsid w:val="00940C95"/>
    <w:rsid w:val="00943744"/>
    <w:rsid w:val="0097773B"/>
    <w:rsid w:val="009E1BC1"/>
    <w:rsid w:val="009E6B23"/>
    <w:rsid w:val="009F2AFF"/>
    <w:rsid w:val="00A03EA2"/>
    <w:rsid w:val="00A12308"/>
    <w:rsid w:val="00A155F8"/>
    <w:rsid w:val="00A471CC"/>
    <w:rsid w:val="00A60124"/>
    <w:rsid w:val="00AE056A"/>
    <w:rsid w:val="00B0463E"/>
    <w:rsid w:val="00B33B7A"/>
    <w:rsid w:val="00B7667D"/>
    <w:rsid w:val="00B779CF"/>
    <w:rsid w:val="00B8069E"/>
    <w:rsid w:val="00B85A69"/>
    <w:rsid w:val="00B866B0"/>
    <w:rsid w:val="00BE5191"/>
    <w:rsid w:val="00C541F8"/>
    <w:rsid w:val="00C955CE"/>
    <w:rsid w:val="00CB3257"/>
    <w:rsid w:val="00CE62A2"/>
    <w:rsid w:val="00D43128"/>
    <w:rsid w:val="00D549C4"/>
    <w:rsid w:val="00D962EC"/>
    <w:rsid w:val="00DB11ED"/>
    <w:rsid w:val="00DC0A97"/>
    <w:rsid w:val="00DE1A8B"/>
    <w:rsid w:val="00DF7C12"/>
    <w:rsid w:val="00E12557"/>
    <w:rsid w:val="00E23A01"/>
    <w:rsid w:val="00E3094F"/>
    <w:rsid w:val="00E47BB2"/>
    <w:rsid w:val="00E73E16"/>
    <w:rsid w:val="00EA62F8"/>
    <w:rsid w:val="00EF0772"/>
    <w:rsid w:val="00F608DB"/>
    <w:rsid w:val="00F61B5C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uiPriority w:val="99"/>
    <w:unhideWhenUsed/>
    <w:rsid w:val="0093697B"/>
    <w:rPr>
      <w:color w:val="0000FF"/>
      <w:u w:val="single"/>
    </w:rPr>
  </w:style>
  <w:style w:type="paragraph" w:customStyle="1" w:styleId="CharChar10">
    <w:name w:val="Char Char1"/>
    <w:basedOn w:val="Normal"/>
    <w:rsid w:val="00FE28B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uiPriority w:val="99"/>
    <w:unhideWhenUsed/>
    <w:rsid w:val="0093697B"/>
    <w:rPr>
      <w:color w:val="0000FF"/>
      <w:u w:val="single"/>
    </w:rPr>
  </w:style>
  <w:style w:type="paragraph" w:customStyle="1" w:styleId="CharChar10">
    <w:name w:val="Char Char1"/>
    <w:basedOn w:val="Normal"/>
    <w:rsid w:val="00FE28B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2037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User</cp:lastModifiedBy>
  <cp:revision>2</cp:revision>
  <cp:lastPrinted>2016-06-30T16:46:00Z</cp:lastPrinted>
  <dcterms:created xsi:type="dcterms:W3CDTF">2016-07-15T13:48:00Z</dcterms:created>
  <dcterms:modified xsi:type="dcterms:W3CDTF">2016-07-15T13:48:00Z</dcterms:modified>
</cp:coreProperties>
</file>