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E" w:rsidRPr="007C7357" w:rsidRDefault="00391387" w:rsidP="002C4E9E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LĒMUMS</w:t>
      </w:r>
    </w:p>
    <w:p w:rsidR="008F1BAE" w:rsidRPr="007C7357" w:rsidRDefault="008F1BAE" w:rsidP="008F1BAE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p</w:t>
      </w:r>
      <w:r w:rsidRPr="007C7357">
        <w:rPr>
          <w:rFonts w:ascii="Times New Roman" w:hAnsi="Times New Roman"/>
          <w:b/>
          <w:bCs/>
          <w:sz w:val="22"/>
          <w:szCs w:val="22"/>
        </w:rPr>
        <w:t>ar rezultātiem</w:t>
      </w:r>
    </w:p>
    <w:p w:rsidR="008F1BAE" w:rsidRPr="007C7357" w:rsidRDefault="008F1BAE" w:rsidP="007F1D8D">
      <w:pPr>
        <w:jc w:val="center"/>
        <w:rPr>
          <w:rFonts w:ascii="Times New Roman" w:hAnsi="Times New Roman"/>
          <w:sz w:val="22"/>
          <w:szCs w:val="22"/>
        </w:rPr>
      </w:pPr>
    </w:p>
    <w:p w:rsidR="00391387" w:rsidRPr="007C7357" w:rsidRDefault="00391387" w:rsidP="007F1D8D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sz w:val="22"/>
          <w:szCs w:val="22"/>
        </w:rPr>
        <w:t>Publisko iepirkumu likuma 8.</w:t>
      </w:r>
      <w:r w:rsidRPr="007C7357">
        <w:rPr>
          <w:rFonts w:ascii="Times New Roman" w:hAnsi="Times New Roman"/>
          <w:sz w:val="22"/>
          <w:szCs w:val="22"/>
          <w:vertAlign w:val="superscript"/>
        </w:rPr>
        <w:t>2</w:t>
      </w:r>
      <w:r w:rsidRPr="007C7357">
        <w:rPr>
          <w:rFonts w:ascii="Times New Roman" w:hAnsi="Times New Roman"/>
          <w:sz w:val="22"/>
          <w:szCs w:val="22"/>
        </w:rPr>
        <w:t xml:space="preserve"> panta kārtībā veiktajā iepirkum</w:t>
      </w:r>
      <w:r w:rsidR="000F76E2" w:rsidRPr="007C7357">
        <w:rPr>
          <w:rFonts w:ascii="Times New Roman" w:hAnsi="Times New Roman"/>
          <w:sz w:val="22"/>
          <w:szCs w:val="22"/>
        </w:rPr>
        <w:t>ā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7C7357">
        <w:rPr>
          <w:rFonts w:ascii="Times New Roman" w:hAnsi="Times New Roman"/>
          <w:b/>
          <w:bCs/>
          <w:iCs/>
          <w:sz w:val="22"/>
          <w:szCs w:val="22"/>
        </w:rPr>
        <w:t>„</w:t>
      </w:r>
      <w:r w:rsidR="00126193" w:rsidRPr="00126193">
        <w:rPr>
          <w:rFonts w:ascii="Times New Roman" w:hAnsi="Times New Roman"/>
          <w:b/>
          <w:sz w:val="22"/>
          <w:szCs w:val="22"/>
        </w:rPr>
        <w:t xml:space="preserve">Kodolmagnētiskās rezonanses spektrometra </w:t>
      </w:r>
      <w:proofErr w:type="spellStart"/>
      <w:r w:rsidR="00126193" w:rsidRPr="00126193">
        <w:rPr>
          <w:rFonts w:ascii="Times New Roman" w:hAnsi="Times New Roman"/>
          <w:b/>
          <w:sz w:val="22"/>
          <w:szCs w:val="22"/>
        </w:rPr>
        <w:t>autosamplera</w:t>
      </w:r>
      <w:proofErr w:type="spellEnd"/>
      <w:r w:rsidR="00126193" w:rsidRPr="00126193">
        <w:rPr>
          <w:rFonts w:ascii="Times New Roman" w:hAnsi="Times New Roman"/>
          <w:b/>
          <w:sz w:val="22"/>
          <w:szCs w:val="22"/>
        </w:rPr>
        <w:t xml:space="preserve"> piegāde LU Ķīmijas fakultātes vajadzībām</w:t>
      </w:r>
      <w:r w:rsidRPr="007C7357">
        <w:rPr>
          <w:rFonts w:ascii="Times New Roman" w:hAnsi="Times New Roman"/>
          <w:b/>
          <w:bCs/>
          <w:iCs/>
          <w:sz w:val="22"/>
          <w:szCs w:val="22"/>
        </w:rPr>
        <w:t>”</w:t>
      </w:r>
    </w:p>
    <w:p w:rsidR="003326E9" w:rsidRPr="007C7357" w:rsidRDefault="00540A54" w:rsidP="00EF0772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 xml:space="preserve">Iepirkuma identifikācijas </w:t>
      </w:r>
      <w:proofErr w:type="spellStart"/>
      <w:r w:rsidRPr="007C7357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7C7357">
        <w:rPr>
          <w:rFonts w:ascii="Times New Roman" w:hAnsi="Times New Roman"/>
          <w:b/>
          <w:sz w:val="22"/>
          <w:szCs w:val="22"/>
        </w:rPr>
        <w:t>.</w:t>
      </w:r>
      <w:r w:rsidR="00391387" w:rsidRPr="007C7357">
        <w:rPr>
          <w:rFonts w:ascii="Times New Roman" w:hAnsi="Times New Roman"/>
          <w:b/>
          <w:sz w:val="22"/>
          <w:szCs w:val="22"/>
        </w:rPr>
        <w:t xml:space="preserve">: </w:t>
      </w:r>
      <w:r w:rsidR="00EF0772" w:rsidRPr="007C7357">
        <w:rPr>
          <w:rFonts w:ascii="Times New Roman" w:hAnsi="Times New Roman"/>
          <w:b/>
          <w:sz w:val="22"/>
          <w:szCs w:val="22"/>
        </w:rPr>
        <w:t xml:space="preserve">LU </w:t>
      </w:r>
      <w:r w:rsidR="0093697B" w:rsidRPr="007C7357">
        <w:rPr>
          <w:rFonts w:ascii="Times New Roman" w:hAnsi="Times New Roman"/>
          <w:b/>
          <w:sz w:val="22"/>
          <w:szCs w:val="22"/>
        </w:rPr>
        <w:t>2016/</w:t>
      </w:r>
      <w:r w:rsidR="00126193">
        <w:rPr>
          <w:rFonts w:ascii="Times New Roman" w:hAnsi="Times New Roman"/>
          <w:b/>
          <w:sz w:val="22"/>
          <w:szCs w:val="22"/>
        </w:rPr>
        <w:t>19</w:t>
      </w:r>
      <w:r w:rsidR="0093697B" w:rsidRPr="007C7357">
        <w:rPr>
          <w:rFonts w:ascii="Times New Roman" w:hAnsi="Times New Roman"/>
          <w:b/>
          <w:sz w:val="22"/>
          <w:szCs w:val="22"/>
        </w:rPr>
        <w:t>_I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3F17" w:rsidRPr="007C7357" w:rsidRDefault="00763F17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B11ED" w:rsidRPr="007C7357" w:rsidRDefault="00763F17" w:rsidP="007F1D8D">
      <w:pPr>
        <w:jc w:val="both"/>
        <w:rPr>
          <w:rFonts w:ascii="Times New Roman" w:hAnsi="Times New Roman"/>
          <w:bCs/>
          <w:sz w:val="22"/>
          <w:szCs w:val="22"/>
        </w:rPr>
      </w:pPr>
      <w:r w:rsidRPr="007C7357">
        <w:rPr>
          <w:rFonts w:ascii="Times New Roman" w:hAnsi="Times New Roman"/>
          <w:bCs/>
          <w:sz w:val="22"/>
          <w:szCs w:val="22"/>
        </w:rPr>
        <w:t>Rīgā</w:t>
      </w:r>
      <w:r w:rsidR="00B866B0"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F608DB" w:rsidRPr="007C7357">
        <w:rPr>
          <w:rFonts w:ascii="Times New Roman" w:hAnsi="Times New Roman"/>
          <w:bCs/>
          <w:sz w:val="22"/>
          <w:szCs w:val="22"/>
        </w:rPr>
        <w:t xml:space="preserve">         </w:t>
      </w:r>
      <w:r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>2016</w:t>
      </w:r>
      <w:r w:rsidR="00F608DB" w:rsidRPr="007C7357">
        <w:rPr>
          <w:rFonts w:ascii="Times New Roman" w:hAnsi="Times New Roman"/>
          <w:bCs/>
          <w:sz w:val="22"/>
          <w:szCs w:val="22"/>
        </w:rPr>
        <w:t>.</w:t>
      </w:r>
      <w:r w:rsidR="00AE056A" w:rsidRPr="007C7357">
        <w:rPr>
          <w:rFonts w:ascii="Times New Roman" w:hAnsi="Times New Roman"/>
          <w:bCs/>
          <w:sz w:val="22"/>
          <w:szCs w:val="22"/>
        </w:rPr>
        <w:t xml:space="preserve">gada </w:t>
      </w:r>
      <w:r w:rsidR="00126193">
        <w:rPr>
          <w:rFonts w:ascii="Times New Roman" w:hAnsi="Times New Roman"/>
          <w:bCs/>
          <w:sz w:val="22"/>
          <w:szCs w:val="22"/>
        </w:rPr>
        <w:t>2</w:t>
      </w:r>
      <w:r w:rsidR="0093697B" w:rsidRPr="007C7357">
        <w:rPr>
          <w:rFonts w:ascii="Times New Roman" w:hAnsi="Times New Roman"/>
          <w:bCs/>
          <w:sz w:val="22"/>
          <w:szCs w:val="22"/>
        </w:rPr>
        <w:t>.</w:t>
      </w:r>
      <w:r w:rsidR="00126193">
        <w:rPr>
          <w:rFonts w:ascii="Times New Roman" w:hAnsi="Times New Roman"/>
          <w:bCs/>
          <w:sz w:val="22"/>
          <w:szCs w:val="22"/>
        </w:rPr>
        <w:t>augustā</w:t>
      </w:r>
    </w:p>
    <w:p w:rsidR="00763F17" w:rsidRPr="007C7357" w:rsidRDefault="00763F17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326E9" w:rsidRPr="007C7357" w:rsidRDefault="003326E9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F1BAE" w:rsidRPr="007C7357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sz w:val="22"/>
          <w:szCs w:val="22"/>
          <w:lang w:eastAsia="lv-LV"/>
        </w:rPr>
        <w:t>Pasūtītājs</w:t>
      </w:r>
      <w:r w:rsidR="003326E9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:</w:t>
      </w:r>
      <w:r w:rsidR="00DB11E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807C5E" w:rsidRPr="007C7357">
        <w:rPr>
          <w:rFonts w:ascii="Times New Roman" w:eastAsia="Times New Roman" w:hAnsi="Times New Roman"/>
          <w:sz w:val="22"/>
          <w:szCs w:val="22"/>
          <w:lang w:eastAsia="lv-LV"/>
        </w:rPr>
        <w:t>Latvijas U</w:t>
      </w:r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niversitāte, izglītības iestādes reģistrācijas </w:t>
      </w:r>
      <w:proofErr w:type="spellStart"/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>Nr</w:t>
      </w:r>
      <w:proofErr w:type="spellEnd"/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. </w:t>
      </w:r>
      <w:r w:rsidR="00807C5E" w:rsidRPr="007C7357">
        <w:rPr>
          <w:rFonts w:ascii="Times New Roman" w:hAnsi="Times New Roman"/>
          <w:sz w:val="22"/>
          <w:szCs w:val="22"/>
        </w:rPr>
        <w:t>3341000218</w:t>
      </w:r>
      <w:r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, juridiskā adrese </w:t>
      </w:r>
      <w:r w:rsidRPr="007C7357">
        <w:rPr>
          <w:rFonts w:ascii="Times New Roman" w:eastAsia="Times New Roman" w:hAnsi="Times New Roman"/>
          <w:sz w:val="22"/>
          <w:szCs w:val="22"/>
        </w:rPr>
        <w:t>Raiņa bulvāris 19, Rīga, LV-1586.</w:t>
      </w:r>
    </w:p>
    <w:p w:rsidR="008F1BAE" w:rsidRPr="007C7357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Iepirkuma komisija: </w:t>
      </w:r>
      <w:r w:rsidRPr="007C7357">
        <w:rPr>
          <w:rFonts w:ascii="Times New Roman" w:hAnsi="Times New Roman"/>
          <w:sz w:val="22"/>
          <w:szCs w:val="22"/>
        </w:rPr>
        <w:t xml:space="preserve">ar Latvijas Universitātes </w:t>
      </w:r>
      <w:r w:rsidR="0093697B" w:rsidRPr="007C7357">
        <w:rPr>
          <w:rFonts w:ascii="Times New Roman" w:hAnsi="Times New Roman"/>
          <w:sz w:val="22"/>
          <w:szCs w:val="22"/>
        </w:rPr>
        <w:t xml:space="preserve">2016. gada 22. februāra LU rīkojumu </w:t>
      </w:r>
      <w:proofErr w:type="spellStart"/>
      <w:r w:rsidR="0093697B" w:rsidRPr="007C7357">
        <w:rPr>
          <w:rFonts w:ascii="Times New Roman" w:hAnsi="Times New Roman"/>
          <w:sz w:val="22"/>
          <w:szCs w:val="22"/>
        </w:rPr>
        <w:t>Nr</w:t>
      </w:r>
      <w:proofErr w:type="spellEnd"/>
      <w:r w:rsidR="0093697B" w:rsidRPr="007C7357">
        <w:rPr>
          <w:rFonts w:ascii="Times New Roman" w:hAnsi="Times New Roman"/>
          <w:sz w:val="22"/>
          <w:szCs w:val="22"/>
        </w:rPr>
        <w:t>. 1/86 “Par L</w:t>
      </w:r>
      <w:r w:rsidR="00F608DB" w:rsidRPr="007C7357">
        <w:rPr>
          <w:rFonts w:ascii="Times New Roman" w:hAnsi="Times New Roman"/>
          <w:sz w:val="22"/>
          <w:szCs w:val="22"/>
        </w:rPr>
        <w:t xml:space="preserve">atvijas </w:t>
      </w:r>
      <w:r w:rsidR="0093697B" w:rsidRPr="007C7357">
        <w:rPr>
          <w:rFonts w:ascii="Times New Roman" w:hAnsi="Times New Roman"/>
          <w:sz w:val="22"/>
          <w:szCs w:val="22"/>
        </w:rPr>
        <w:t>U</w:t>
      </w:r>
      <w:r w:rsidR="00F608DB" w:rsidRPr="007C7357">
        <w:rPr>
          <w:rFonts w:ascii="Times New Roman" w:hAnsi="Times New Roman"/>
          <w:sz w:val="22"/>
          <w:szCs w:val="22"/>
        </w:rPr>
        <w:t>niversitātes</w:t>
      </w:r>
      <w:r w:rsidR="0093697B" w:rsidRPr="007C7357">
        <w:rPr>
          <w:rFonts w:ascii="Times New Roman" w:hAnsi="Times New Roman"/>
          <w:sz w:val="22"/>
          <w:szCs w:val="22"/>
        </w:rPr>
        <w:t xml:space="preserve"> iepirkumu komisiju sastāviem”</w:t>
      </w:r>
      <w:r w:rsidRPr="007C7357">
        <w:rPr>
          <w:rFonts w:ascii="Times New Roman" w:hAnsi="Times New Roman"/>
          <w:sz w:val="22"/>
          <w:szCs w:val="22"/>
        </w:rPr>
        <w:t xml:space="preserve"> izveidota Latvijas Universitātes </w:t>
      </w:r>
      <w:r w:rsidR="0093697B" w:rsidRPr="007C7357">
        <w:rPr>
          <w:rFonts w:ascii="Times New Roman" w:hAnsi="Times New Roman"/>
          <w:sz w:val="22"/>
          <w:szCs w:val="22"/>
        </w:rPr>
        <w:t>Zinātniskās darbības nodrošinājuma</w:t>
      </w:r>
      <w:r w:rsidRPr="007C7357">
        <w:rPr>
          <w:rFonts w:ascii="Times New Roman" w:hAnsi="Times New Roman"/>
          <w:sz w:val="22"/>
          <w:szCs w:val="22"/>
        </w:rPr>
        <w:t xml:space="preserve"> iepirkumu komisija.</w:t>
      </w:r>
    </w:p>
    <w:p w:rsidR="003326E9" w:rsidRPr="007C7357" w:rsidRDefault="003326E9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 priekšmets:</w:t>
      </w:r>
      <w:r w:rsid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126193">
        <w:rPr>
          <w:rFonts w:ascii="Times New Roman" w:eastAsia="Times New Roman" w:hAnsi="Times New Roman"/>
          <w:color w:val="000000"/>
          <w:sz w:val="22"/>
          <w:szCs w:val="22"/>
        </w:rPr>
        <w:t xml:space="preserve">Kodolmagnētiskās rezonanses spektrometra </w:t>
      </w:r>
      <w:proofErr w:type="spellStart"/>
      <w:r w:rsidR="00126193">
        <w:rPr>
          <w:rFonts w:ascii="Times New Roman" w:eastAsia="Times New Roman" w:hAnsi="Times New Roman"/>
          <w:color w:val="000000"/>
          <w:sz w:val="22"/>
          <w:szCs w:val="22"/>
        </w:rPr>
        <w:t>autosamplera</w:t>
      </w:r>
      <w:proofErr w:type="spellEnd"/>
      <w:r w:rsidR="00126193">
        <w:rPr>
          <w:rFonts w:ascii="Times New Roman" w:eastAsia="Times New Roman" w:hAnsi="Times New Roman"/>
          <w:color w:val="000000"/>
          <w:sz w:val="22"/>
          <w:szCs w:val="22"/>
        </w:rPr>
        <w:t xml:space="preserve"> piegāde LU Ķīmijas fakultātes vajadzībām</w:t>
      </w:r>
      <w:r w:rsidR="000F76E2" w:rsidRPr="007C7357">
        <w:rPr>
          <w:rFonts w:ascii="Times New Roman" w:hAnsi="Times New Roman"/>
          <w:sz w:val="22"/>
          <w:szCs w:val="22"/>
        </w:rPr>
        <w:t>.</w:t>
      </w:r>
    </w:p>
    <w:p w:rsidR="00EF0772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CPV nomenklatūras kods: </w:t>
      </w:r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>38433000 – 9 (masas spektrometri)</w:t>
      </w:r>
      <w:r w:rsidR="0093697B" w:rsidRPr="007C7357">
        <w:rPr>
          <w:rFonts w:ascii="Times New Roman" w:hAnsi="Times New Roman"/>
          <w:sz w:val="22"/>
          <w:szCs w:val="22"/>
        </w:rPr>
        <w:t>.</w:t>
      </w:r>
    </w:p>
    <w:p w:rsidR="008F1BAE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Piedāvājuma izvēles kritērijs: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Piedāvājums atbilst Nolikumā izvirzītajām prasībām un ir piedāvājums ar viszemāko cenu (EUR bez PVN)</w:t>
      </w:r>
      <w:r w:rsidR="0089140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8F1BAE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Paziņojums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līgumu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publicēts </w:t>
      </w:r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Iepirkumu uzraudzības biroja </w:t>
      </w:r>
      <w:proofErr w:type="spellStart"/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mājaslapā</w:t>
      </w:r>
      <w:proofErr w:type="spellEnd"/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</w:t>
      </w:r>
      <w:hyperlink r:id="rId9" w:history="1">
        <w:r w:rsidRPr="007C7357">
          <w:rPr>
            <w:rFonts w:ascii="Times New Roman" w:eastAsia="Times New Roman" w:hAnsi="Times New Roman"/>
            <w:b/>
            <w:bCs/>
            <w:color w:val="000000"/>
            <w:sz w:val="22"/>
            <w:szCs w:val="22"/>
            <w:lang w:eastAsia="lv-LV"/>
          </w:rPr>
          <w:t>www.iub.gov.lv</w:t>
        </w:r>
      </w:hyperlink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):</w:t>
      </w:r>
      <w:r w:rsidR="00DB11ED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2016</w:t>
      </w:r>
      <w:r w:rsidR="00EF077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gada </w:t>
      </w:r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>8</w:t>
      </w:r>
      <w:r w:rsidR="008F1BAE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martā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3326E9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Pretendenti, kuri </w:t>
      </w:r>
      <w:r w:rsidR="0093697B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līdz 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2016.gada </w:t>
      </w:r>
      <w:r w:rsidR="00126193">
        <w:rPr>
          <w:rFonts w:ascii="Times New Roman" w:hAnsi="Times New Roman"/>
          <w:bCs/>
          <w:sz w:val="22"/>
          <w:szCs w:val="22"/>
        </w:rPr>
        <w:t>21</w:t>
      </w:r>
      <w:r w:rsidR="009F2AFF" w:rsidRPr="007C7357">
        <w:rPr>
          <w:rFonts w:ascii="Times New Roman" w:hAnsi="Times New Roman"/>
          <w:bCs/>
          <w:sz w:val="22"/>
          <w:szCs w:val="22"/>
        </w:rPr>
        <w:t>.</w:t>
      </w:r>
      <w:r w:rsidR="00126193">
        <w:rPr>
          <w:rFonts w:ascii="Times New Roman" w:hAnsi="Times New Roman"/>
          <w:bCs/>
          <w:sz w:val="22"/>
          <w:szCs w:val="22"/>
        </w:rPr>
        <w:t>martam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="009F2AFF" w:rsidRPr="007C7357">
        <w:rPr>
          <w:rFonts w:ascii="Times New Roman" w:hAnsi="Times New Roman"/>
          <w:bCs/>
          <w:sz w:val="22"/>
          <w:szCs w:val="22"/>
        </w:rPr>
        <w:t>plkst</w:t>
      </w:r>
      <w:proofErr w:type="spellEnd"/>
      <w:r w:rsidR="009F2AFF" w:rsidRPr="007C7357">
        <w:rPr>
          <w:rFonts w:ascii="Times New Roman" w:hAnsi="Times New Roman"/>
          <w:bCs/>
          <w:sz w:val="22"/>
          <w:szCs w:val="22"/>
        </w:rPr>
        <w:t>. 1</w:t>
      </w:r>
      <w:r w:rsidR="00A60124" w:rsidRPr="007C7357">
        <w:rPr>
          <w:rFonts w:ascii="Times New Roman" w:hAnsi="Times New Roman"/>
          <w:bCs/>
          <w:sz w:val="22"/>
          <w:szCs w:val="22"/>
        </w:rPr>
        <w:t>1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:00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iesniedza piedāvājumus:</w:t>
      </w:r>
    </w:p>
    <w:tbl>
      <w:tblPr>
        <w:tblW w:w="4893" w:type="pct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27"/>
        <w:gridCol w:w="3710"/>
      </w:tblGrid>
      <w:tr w:rsidR="009F2AFF" w:rsidRPr="002D6C30" w:rsidTr="00A60124">
        <w:tc>
          <w:tcPr>
            <w:tcW w:w="362" w:type="pct"/>
            <w:shd w:val="clear" w:color="auto" w:fill="D0CECE"/>
            <w:vAlign w:val="center"/>
          </w:tcPr>
          <w:p w:rsidR="009F2AFF" w:rsidRPr="002D6C30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Nr</w:t>
            </w:r>
            <w:proofErr w:type="spellEnd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9F2AFF" w:rsidRPr="002D6C30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p.k</w:t>
            </w:r>
            <w:proofErr w:type="spellEnd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414" w:type="pct"/>
            <w:shd w:val="clear" w:color="auto" w:fill="D0CECE"/>
            <w:vAlign w:val="center"/>
          </w:tcPr>
          <w:p w:rsidR="009F2AFF" w:rsidRPr="002D6C30" w:rsidRDefault="009F2AFF" w:rsidP="00A60124">
            <w:pPr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Pretendenta nosaukums</w:t>
            </w:r>
          </w:p>
        </w:tc>
        <w:tc>
          <w:tcPr>
            <w:tcW w:w="2224" w:type="pct"/>
            <w:shd w:val="clear" w:color="auto" w:fill="D0CECE"/>
            <w:vAlign w:val="center"/>
          </w:tcPr>
          <w:p w:rsidR="009F2AFF" w:rsidRPr="002D6C30" w:rsidRDefault="00FE28BF" w:rsidP="0012619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Kopējā cena </w:t>
            </w:r>
            <w:r w:rsidR="00126193">
              <w:rPr>
                <w:rFonts w:ascii="Times New Roman" w:hAnsi="Times New Roman"/>
                <w:b/>
                <w:sz w:val="22"/>
                <w:szCs w:val="22"/>
              </w:rPr>
              <w:t>EUR bez PVN</w:t>
            </w:r>
          </w:p>
        </w:tc>
      </w:tr>
      <w:tr w:rsidR="00A60124" w:rsidRPr="002D6C30" w:rsidTr="00A60124">
        <w:tc>
          <w:tcPr>
            <w:tcW w:w="362" w:type="pct"/>
            <w:shd w:val="clear" w:color="auto" w:fill="auto"/>
            <w:vAlign w:val="center"/>
          </w:tcPr>
          <w:p w:rsidR="00A60124" w:rsidRPr="00FE28BF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FE28BF">
              <w:rPr>
                <w:rFonts w:ascii="Times New Roman" w:hAnsi="Times New Roman"/>
              </w:rPr>
              <w:t>1.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FE28BF" w:rsidRDefault="00126193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Bruker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Baltic</w:t>
            </w:r>
            <w:proofErr w:type="spellEnd"/>
            <w:r>
              <w:rPr>
                <w:rFonts w:ascii="Times New Roman" w:hAnsi="Times New Roman"/>
              </w:rPr>
              <w:t xml:space="preserve"> OU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FE28BF" w:rsidRDefault="00FE28BF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8BF">
              <w:rPr>
                <w:rFonts w:ascii="Times New Roman" w:hAnsi="Times New Roman"/>
              </w:rPr>
              <w:t>8 605,48</w:t>
            </w:r>
          </w:p>
        </w:tc>
      </w:tr>
    </w:tbl>
    <w:p w:rsidR="003326E9" w:rsidRPr="00126193" w:rsidRDefault="002466F7" w:rsidP="00A60124">
      <w:pPr>
        <w:pStyle w:val="ListParagraph"/>
        <w:numPr>
          <w:ilvl w:val="0"/>
          <w:numId w:val="3"/>
        </w:numPr>
        <w:spacing w:before="240" w:after="240"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Piedāvājumu atbilstība N</w:t>
      </w:r>
      <w:r w:rsidR="003326E9"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olikumā noteiktajām prasībām</w:t>
      </w:r>
      <w:r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un kritērijiem</w:t>
      </w:r>
      <w:r w:rsidR="00126193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: </w:t>
      </w:r>
      <w:r w:rsidR="00126193" w:rsidRP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>Netika vērtēts.</w:t>
      </w:r>
    </w:p>
    <w:p w:rsidR="00807C5E" w:rsidRPr="007C7357" w:rsidRDefault="0089140D" w:rsidP="00A60124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Piedāvājumi, kuros veikti aritmētisko kļūdu labojumi: </w:t>
      </w:r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>netika veikta šīs pozīcijas pārbaude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89140D" w:rsidRPr="007C7357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Noraidītie pretende</w:t>
      </w:r>
      <w:r w:rsidR="00441D06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nti un to noraidīšanas iemesli:</w:t>
      </w:r>
      <w:r w:rsidR="00A60124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A6012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540A54" w:rsidRPr="007C7357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Publisko iepirkumu likuma 8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eastAsia="lv-LV"/>
        </w:rPr>
        <w:t>2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.</w:t>
      </w:r>
      <w:r w:rsidR="00A12308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panta piektās daļas apstākļi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, kas attiecināmi uz</w:t>
      </w:r>
      <w:r w:rsidR="00B866B0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pretendentu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proofErr w:type="spellStart"/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>Bruker</w:t>
      </w:r>
      <w:proofErr w:type="spellEnd"/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proofErr w:type="spellStart"/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>Baltic</w:t>
      </w:r>
      <w:proofErr w:type="spellEnd"/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OU: netika vērtēts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126193" w:rsidRDefault="007156D9" w:rsidP="008B064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Ņemot vērā visu iepriekš minē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to, Komisija vienbalsīgi nolemj: </w:t>
      </w:r>
    </w:p>
    <w:p w:rsidR="00434345" w:rsidRPr="007C7357" w:rsidRDefault="00126193" w:rsidP="0012619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pārtraukt iepirkumu, ņemot vērā, ka ir izbeigta pretendenta </w:t>
      </w:r>
      <w:proofErr w:type="spellStart"/>
      <w:r>
        <w:rPr>
          <w:rFonts w:ascii="Times New Roman" w:eastAsia="Times New Roman" w:hAnsi="Times New Roman"/>
          <w:bCs/>
          <w:sz w:val="22"/>
          <w:szCs w:val="22"/>
          <w:lang w:eastAsia="lv-LV"/>
        </w:rPr>
        <w:t>Bruker</w:t>
      </w:r>
      <w:proofErr w:type="spellEnd"/>
      <w:r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2"/>
          <w:szCs w:val="22"/>
          <w:lang w:eastAsia="lv-LV"/>
        </w:rPr>
        <w:t>Baltic</w:t>
      </w:r>
      <w:proofErr w:type="spellEnd"/>
      <w:r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OU saimnieciskā darbība.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triju darbdienu laikā </w:t>
      </w:r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ievietot lēmumu par pārtraukšanu pasūtītāja </w:t>
      </w:r>
      <w:proofErr w:type="spellStart"/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>mājaslapā</w:t>
      </w:r>
      <w:proofErr w:type="spellEnd"/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hyperlink r:id="rId10" w:history="1">
        <w:r w:rsidR="00126193" w:rsidRPr="001D129D">
          <w:rPr>
            <w:rStyle w:val="Hyperlink"/>
            <w:rFonts w:ascii="Times New Roman" w:eastAsia="Times New Roman" w:hAnsi="Times New Roman"/>
            <w:bCs/>
            <w:sz w:val="22"/>
            <w:szCs w:val="22"/>
            <w:lang w:eastAsia="lv-LV"/>
          </w:rPr>
          <w:t>www.lu.lv</w:t>
        </w:r>
      </w:hyperlink>
      <w:r w:rsid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>, nodrošinot brīvu un tiešu elektronisko pieeju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;</w:t>
      </w:r>
    </w:p>
    <w:p w:rsidR="007156D9" w:rsidRDefault="00126193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126193">
        <w:rPr>
          <w:rFonts w:ascii="Times New Roman" w:hAnsi="Times New Roman"/>
          <w:sz w:val="22"/>
          <w:szCs w:val="22"/>
        </w:rPr>
        <w:t xml:space="preserve">ievietot Iepirkumu uzraudzības biroja </w:t>
      </w:r>
      <w:proofErr w:type="spellStart"/>
      <w:r w:rsidRPr="00126193">
        <w:rPr>
          <w:rFonts w:ascii="Times New Roman" w:hAnsi="Times New Roman"/>
          <w:sz w:val="22"/>
          <w:szCs w:val="22"/>
        </w:rPr>
        <w:t>mājaslapā</w:t>
      </w:r>
      <w:proofErr w:type="spellEnd"/>
      <w:r w:rsidRPr="0012619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6193">
        <w:rPr>
          <w:rFonts w:ascii="Times New Roman" w:hAnsi="Times New Roman"/>
          <w:sz w:val="22"/>
          <w:szCs w:val="22"/>
        </w:rPr>
        <w:t>www.iub.gov.lv</w:t>
      </w:r>
      <w:proofErr w:type="spellEnd"/>
      <w:r w:rsidRPr="00126193">
        <w:rPr>
          <w:rFonts w:ascii="Times New Roman" w:hAnsi="Times New Roman"/>
          <w:sz w:val="22"/>
          <w:szCs w:val="22"/>
        </w:rPr>
        <w:t xml:space="preserve"> paziņojumu par iepirkuma pārtraukšanu</w:t>
      </w:r>
      <w:r w:rsidR="007156D9" w:rsidRPr="00126193">
        <w:rPr>
          <w:rFonts w:ascii="Times New Roman" w:eastAsia="Times New Roman" w:hAnsi="Times New Roman"/>
          <w:bCs/>
          <w:sz w:val="22"/>
          <w:szCs w:val="22"/>
          <w:lang w:eastAsia="lv-LV"/>
        </w:rPr>
        <w:t>;</w:t>
      </w:r>
    </w:p>
    <w:p w:rsidR="007B23BA" w:rsidRDefault="007B23BA" w:rsidP="007B23BA">
      <w:pPr>
        <w:pStyle w:val="ListParagraph"/>
        <w:ind w:left="1080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</w:p>
    <w:p w:rsidR="007B23BA" w:rsidRDefault="007B23BA" w:rsidP="007B23BA">
      <w:pPr>
        <w:pStyle w:val="ListParagraph"/>
        <w:ind w:left="1080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</w:p>
    <w:p w:rsidR="007B23BA" w:rsidRDefault="007B23BA" w:rsidP="007B23BA">
      <w:pPr>
        <w:pStyle w:val="ListParagraph"/>
        <w:ind w:left="1080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</w:p>
    <w:p w:rsidR="007B23BA" w:rsidRDefault="007B23BA" w:rsidP="007B23BA">
      <w:pPr>
        <w:pStyle w:val="ListParagraph"/>
        <w:ind w:left="1080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</w:p>
    <w:p w:rsidR="007B23BA" w:rsidRDefault="007B23BA" w:rsidP="007B23BA">
      <w:pPr>
        <w:pStyle w:val="ListParagraph"/>
        <w:ind w:left="1080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</w:p>
    <w:p w:rsidR="007B23BA" w:rsidRDefault="007B23BA" w:rsidP="007B23BA">
      <w:pPr>
        <w:pStyle w:val="ListParagraph"/>
        <w:ind w:left="1080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</w:p>
    <w:p w:rsidR="007B23BA" w:rsidRDefault="007B23BA" w:rsidP="007B23BA">
      <w:pPr>
        <w:pStyle w:val="ListParagraph"/>
        <w:ind w:left="1080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</w:p>
    <w:p w:rsidR="007B23BA" w:rsidRPr="00126193" w:rsidRDefault="007B23BA" w:rsidP="007B23BA">
      <w:pPr>
        <w:pStyle w:val="ListParagraph"/>
        <w:ind w:left="1080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bookmarkStart w:id="0" w:name="_GoBack"/>
      <w:bookmarkEnd w:id="0"/>
    </w:p>
    <w:p w:rsidR="007F1D8D" w:rsidRPr="007C7357" w:rsidRDefault="00E73E16" w:rsidP="006F52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lastRenderedPageBreak/>
        <w:t>Saskaņā ar Publisko iepirkumu likuma 8.</w:t>
      </w:r>
      <w:r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 xml:space="preserve">2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panta astoņpadsmito daļu Pretendents, kas iesniedzis piedāvājumu Iepirkumā, un kas uzskata, ka ir aizskartas tā tiesības </w:t>
      </w:r>
      <w:r w:rsidR="00540A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vai iespējams šo tiesību aizskārums, tas šo iepirkumu komisijas lēmumu var pārsūdzēt Administratīvajā rajona tiesā viena mēneša laikā no tā spēkā stāšanās dienas.</w:t>
      </w:r>
    </w:p>
    <w:p w:rsidR="007F1D8D" w:rsidRPr="007C7357" w:rsidRDefault="007F1D8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83"/>
        <w:gridCol w:w="2008"/>
        <w:gridCol w:w="2231"/>
      </w:tblGrid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7B23BA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  <w:vAlign w:val="center"/>
          </w:tcPr>
          <w:p w:rsidR="007C7357" w:rsidRPr="007C7357" w:rsidRDefault="007C7357" w:rsidP="00A512D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/Valdis Segliņš/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priekšsēdētāja vietnieks: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7B23BA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/Māris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Vītiņš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 xml:space="preserve">/ 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locekļi: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7B23BA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/Uldis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Kondratovičs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7B23BA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/Dace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Silarāja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7B23BA" w:rsidP="00B0076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/Visvaldis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Neimanis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sekretārs:</w:t>
            </w:r>
          </w:p>
        </w:tc>
        <w:tc>
          <w:tcPr>
            <w:tcW w:w="1178" w:type="pct"/>
            <w:tcBorders>
              <w:bottom w:val="single" w:sz="2" w:space="0" w:color="auto"/>
            </w:tcBorders>
            <w:vAlign w:val="center"/>
          </w:tcPr>
          <w:p w:rsidR="007C7357" w:rsidRPr="007C7357" w:rsidRDefault="007B23BA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9E1BC1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/Rolands Kikors</w:t>
            </w:r>
            <w:r w:rsidR="007C7357"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</w:tbl>
    <w:p w:rsidR="007F1D8D" w:rsidRPr="007C7357" w:rsidRDefault="007F1D8D" w:rsidP="00540A54">
      <w:pPr>
        <w:spacing w:line="360" w:lineRule="auto"/>
        <w:ind w:right="-1192"/>
        <w:rPr>
          <w:rFonts w:ascii="Times New Roman" w:hAnsi="Times New Roman"/>
          <w:sz w:val="22"/>
          <w:szCs w:val="22"/>
        </w:rPr>
      </w:pPr>
    </w:p>
    <w:sectPr w:rsidR="007F1D8D" w:rsidRPr="007C7357" w:rsidSect="006033D8">
      <w:foot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00" w:rsidRDefault="00907F00" w:rsidP="006033D8">
      <w:r>
        <w:separator/>
      </w:r>
    </w:p>
  </w:endnote>
  <w:endnote w:type="continuationSeparator" w:id="0">
    <w:p w:rsidR="00907F00" w:rsidRDefault="00907F00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7B23BA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00" w:rsidRDefault="00907F00" w:rsidP="006033D8">
      <w:r>
        <w:separator/>
      </w:r>
    </w:p>
  </w:footnote>
  <w:footnote w:type="continuationSeparator" w:id="0">
    <w:p w:rsidR="00907F00" w:rsidRDefault="00907F00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AEE"/>
    <w:multiLevelType w:val="multilevel"/>
    <w:tmpl w:val="86E45A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561C69"/>
    <w:multiLevelType w:val="multilevel"/>
    <w:tmpl w:val="466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52F51D7"/>
    <w:multiLevelType w:val="hybridMultilevel"/>
    <w:tmpl w:val="705E4CFE"/>
    <w:lvl w:ilvl="0" w:tplc="216EEB1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37BEB"/>
    <w:rsid w:val="00050A71"/>
    <w:rsid w:val="000F76E2"/>
    <w:rsid w:val="00115D02"/>
    <w:rsid w:val="00116E28"/>
    <w:rsid w:val="00126193"/>
    <w:rsid w:val="00167257"/>
    <w:rsid w:val="001F31CE"/>
    <w:rsid w:val="00212EDB"/>
    <w:rsid w:val="00220A90"/>
    <w:rsid w:val="00245295"/>
    <w:rsid w:val="002453E0"/>
    <w:rsid w:val="002466F7"/>
    <w:rsid w:val="00272C93"/>
    <w:rsid w:val="002C4E9E"/>
    <w:rsid w:val="002D6C30"/>
    <w:rsid w:val="00312122"/>
    <w:rsid w:val="003326E9"/>
    <w:rsid w:val="00361A7E"/>
    <w:rsid w:val="00391387"/>
    <w:rsid w:val="003D05C2"/>
    <w:rsid w:val="003E6CE7"/>
    <w:rsid w:val="00434345"/>
    <w:rsid w:val="00441D06"/>
    <w:rsid w:val="00465086"/>
    <w:rsid w:val="004E79BC"/>
    <w:rsid w:val="00540A54"/>
    <w:rsid w:val="00586669"/>
    <w:rsid w:val="006033D8"/>
    <w:rsid w:val="00610DC5"/>
    <w:rsid w:val="0065223C"/>
    <w:rsid w:val="00654C33"/>
    <w:rsid w:val="00662ADF"/>
    <w:rsid w:val="006E4C54"/>
    <w:rsid w:val="007156D9"/>
    <w:rsid w:val="00763F17"/>
    <w:rsid w:val="00784817"/>
    <w:rsid w:val="007A676B"/>
    <w:rsid w:val="007B23BA"/>
    <w:rsid w:val="007C7357"/>
    <w:rsid w:val="007E7FB9"/>
    <w:rsid w:val="007F1D8D"/>
    <w:rsid w:val="00807C5E"/>
    <w:rsid w:val="008352E4"/>
    <w:rsid w:val="0087766B"/>
    <w:rsid w:val="0089129A"/>
    <w:rsid w:val="0089140D"/>
    <w:rsid w:val="008F1BAE"/>
    <w:rsid w:val="00904E0F"/>
    <w:rsid w:val="00907F00"/>
    <w:rsid w:val="0093697B"/>
    <w:rsid w:val="00940C95"/>
    <w:rsid w:val="00943744"/>
    <w:rsid w:val="0097773B"/>
    <w:rsid w:val="009E1BC1"/>
    <w:rsid w:val="009E6B23"/>
    <w:rsid w:val="009F2AFF"/>
    <w:rsid w:val="00A03EA2"/>
    <w:rsid w:val="00A12308"/>
    <w:rsid w:val="00A155F8"/>
    <w:rsid w:val="00A471CC"/>
    <w:rsid w:val="00A60124"/>
    <w:rsid w:val="00AE056A"/>
    <w:rsid w:val="00B00769"/>
    <w:rsid w:val="00B0463E"/>
    <w:rsid w:val="00B33B7A"/>
    <w:rsid w:val="00B7667D"/>
    <w:rsid w:val="00B76B8A"/>
    <w:rsid w:val="00B779CF"/>
    <w:rsid w:val="00B8069E"/>
    <w:rsid w:val="00B85A69"/>
    <w:rsid w:val="00B866B0"/>
    <w:rsid w:val="00BE5191"/>
    <w:rsid w:val="00C541F8"/>
    <w:rsid w:val="00C955CE"/>
    <w:rsid w:val="00CB3257"/>
    <w:rsid w:val="00CE62A2"/>
    <w:rsid w:val="00D43128"/>
    <w:rsid w:val="00D549C4"/>
    <w:rsid w:val="00D962EC"/>
    <w:rsid w:val="00DB11ED"/>
    <w:rsid w:val="00DC0A97"/>
    <w:rsid w:val="00DE1A8B"/>
    <w:rsid w:val="00DF7C12"/>
    <w:rsid w:val="00E12557"/>
    <w:rsid w:val="00E23A01"/>
    <w:rsid w:val="00E3094F"/>
    <w:rsid w:val="00E47BB2"/>
    <w:rsid w:val="00E73E16"/>
    <w:rsid w:val="00EA62F8"/>
    <w:rsid w:val="00EF0772"/>
    <w:rsid w:val="00F608DB"/>
    <w:rsid w:val="00F61B5C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  <w:style w:type="paragraph" w:customStyle="1" w:styleId="CharChar10">
    <w:name w:val="Char Char1"/>
    <w:basedOn w:val="Normal"/>
    <w:rsid w:val="00FE28B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 Char Char1"/>
    <w:basedOn w:val="Normal"/>
    <w:rsid w:val="0012619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  <w:style w:type="paragraph" w:customStyle="1" w:styleId="CharChar10">
    <w:name w:val="Char Char1"/>
    <w:basedOn w:val="Normal"/>
    <w:rsid w:val="00FE28B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 Char Char1"/>
    <w:basedOn w:val="Normal"/>
    <w:rsid w:val="0012619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u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F8CA-93B3-4000-A100-1A87DF3E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2</cp:revision>
  <cp:lastPrinted>2016-06-30T16:46:00Z</cp:lastPrinted>
  <dcterms:created xsi:type="dcterms:W3CDTF">2016-08-02T11:48:00Z</dcterms:created>
  <dcterms:modified xsi:type="dcterms:W3CDTF">2016-08-02T11:48:00Z</dcterms:modified>
</cp:coreProperties>
</file>