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88B" w:rsidRPr="00374DC2" w:rsidRDefault="00EF388B" w:rsidP="00EF388B">
      <w:pPr>
        <w:jc w:val="center"/>
        <w:rPr>
          <w:rFonts w:ascii="Times New Roman" w:hAnsi="Times New Roman"/>
          <w:b/>
        </w:rPr>
      </w:pPr>
      <w:bookmarkStart w:id="0" w:name="_GoBack"/>
      <w:bookmarkEnd w:id="0"/>
      <w:r w:rsidRPr="00374DC2">
        <w:rPr>
          <w:rFonts w:ascii="Times New Roman" w:hAnsi="Times New Roman"/>
          <w:b/>
        </w:rPr>
        <w:t>LĒMUMS</w:t>
      </w:r>
    </w:p>
    <w:p w:rsidR="00EF388B" w:rsidRPr="00374DC2" w:rsidRDefault="00EF388B" w:rsidP="00EF388B">
      <w:pPr>
        <w:jc w:val="center"/>
        <w:rPr>
          <w:rFonts w:ascii="Times New Roman" w:hAnsi="Times New Roman"/>
        </w:rPr>
      </w:pPr>
      <w:r w:rsidRPr="00374DC2">
        <w:rPr>
          <w:rFonts w:ascii="Times New Roman" w:hAnsi="Times New Roman"/>
          <w:b/>
        </w:rPr>
        <w:t>p</w:t>
      </w:r>
      <w:r w:rsidRPr="00374DC2">
        <w:rPr>
          <w:rFonts w:ascii="Times New Roman" w:hAnsi="Times New Roman"/>
          <w:b/>
          <w:bCs/>
        </w:rPr>
        <w:t>ar pārtraukšanu</w:t>
      </w:r>
    </w:p>
    <w:p w:rsidR="00EF388B" w:rsidRPr="00374DC2" w:rsidRDefault="00EF388B" w:rsidP="00EF388B">
      <w:pPr>
        <w:jc w:val="center"/>
        <w:rPr>
          <w:rFonts w:ascii="Times New Roman" w:hAnsi="Times New Roman"/>
        </w:rPr>
      </w:pPr>
    </w:p>
    <w:p w:rsidR="00EF388B" w:rsidRPr="00374DC2" w:rsidRDefault="00EF388B" w:rsidP="00EF388B">
      <w:pPr>
        <w:jc w:val="center"/>
        <w:rPr>
          <w:rFonts w:ascii="Times New Roman" w:hAnsi="Times New Roman"/>
        </w:rPr>
      </w:pPr>
      <w:r w:rsidRPr="00374DC2">
        <w:rPr>
          <w:rFonts w:ascii="Times New Roman" w:hAnsi="Times New Roman"/>
        </w:rPr>
        <w:t>Publisko iepirkumu likuma 8.</w:t>
      </w:r>
      <w:r w:rsidRPr="00374DC2">
        <w:rPr>
          <w:rFonts w:ascii="Times New Roman" w:hAnsi="Times New Roman"/>
          <w:vertAlign w:val="superscript"/>
        </w:rPr>
        <w:t>2</w:t>
      </w:r>
      <w:r w:rsidRPr="00374DC2">
        <w:rPr>
          <w:rFonts w:ascii="Times New Roman" w:hAnsi="Times New Roman"/>
        </w:rPr>
        <w:t xml:space="preserve"> panta sešpadsmitās daļas 1.punkta kārtībā veiktajā iepirkumā</w:t>
      </w:r>
    </w:p>
    <w:p w:rsidR="00EF388B" w:rsidRPr="00374DC2" w:rsidRDefault="00EF388B" w:rsidP="00EF388B">
      <w:pPr>
        <w:jc w:val="center"/>
        <w:rPr>
          <w:rFonts w:ascii="Times New Roman" w:hAnsi="Times New Roman"/>
          <w:b/>
        </w:rPr>
      </w:pPr>
      <w:r w:rsidRPr="00374DC2">
        <w:rPr>
          <w:rFonts w:ascii="Times New Roman" w:hAnsi="Times New Roman"/>
          <w:b/>
          <w:bCs/>
          <w:iCs/>
        </w:rPr>
        <w:t>„</w:t>
      </w:r>
      <w:r w:rsidRPr="00374DC2">
        <w:rPr>
          <w:rFonts w:ascii="Times New Roman" w:hAnsi="Times New Roman"/>
          <w:b/>
        </w:rPr>
        <w:t xml:space="preserve">Rakstiskās un mutiskās tulkošanas </w:t>
      </w:r>
    </w:p>
    <w:p w:rsidR="00EF388B" w:rsidRPr="00374DC2" w:rsidRDefault="00EF388B" w:rsidP="00EF388B">
      <w:pPr>
        <w:jc w:val="center"/>
        <w:rPr>
          <w:rFonts w:ascii="Times New Roman" w:hAnsi="Times New Roman"/>
          <w:b/>
          <w:bCs/>
          <w:iCs/>
        </w:rPr>
      </w:pPr>
      <w:r w:rsidRPr="00374DC2">
        <w:rPr>
          <w:rFonts w:ascii="Times New Roman" w:hAnsi="Times New Roman"/>
          <w:b/>
        </w:rPr>
        <w:t>pakalpojumu sniegšana LU vajadzībām</w:t>
      </w:r>
      <w:r w:rsidRPr="00374DC2">
        <w:rPr>
          <w:rFonts w:ascii="Times New Roman" w:hAnsi="Times New Roman"/>
          <w:b/>
          <w:bCs/>
          <w:iCs/>
        </w:rPr>
        <w:t>”</w:t>
      </w:r>
    </w:p>
    <w:p w:rsidR="00EF388B" w:rsidRPr="00374DC2" w:rsidRDefault="00EF388B" w:rsidP="00EF388B">
      <w:pPr>
        <w:jc w:val="center"/>
        <w:rPr>
          <w:rFonts w:ascii="Times New Roman" w:hAnsi="Times New Roman"/>
          <w:b/>
        </w:rPr>
      </w:pPr>
      <w:r w:rsidRPr="00374DC2">
        <w:rPr>
          <w:rFonts w:ascii="Times New Roman" w:hAnsi="Times New Roman"/>
          <w:b/>
        </w:rPr>
        <w:t>Iepirkuma identifikācijas Nr.: LU 2016/10_I_B</w:t>
      </w:r>
    </w:p>
    <w:p w:rsidR="00EF388B" w:rsidRPr="00374DC2" w:rsidRDefault="00EF388B" w:rsidP="00EF388B">
      <w:pPr>
        <w:jc w:val="center"/>
        <w:rPr>
          <w:rFonts w:ascii="Times New Roman" w:hAnsi="Times New Roman"/>
          <w:b/>
          <w:bCs/>
        </w:rPr>
      </w:pPr>
    </w:p>
    <w:p w:rsidR="00EF388B" w:rsidRPr="00374DC2" w:rsidRDefault="00EF388B" w:rsidP="00EF388B">
      <w:pPr>
        <w:jc w:val="center"/>
        <w:rPr>
          <w:rFonts w:ascii="Times New Roman" w:hAnsi="Times New Roman"/>
          <w:b/>
          <w:bCs/>
        </w:rPr>
      </w:pPr>
    </w:p>
    <w:p w:rsidR="0021165A" w:rsidRPr="00374DC2" w:rsidRDefault="0021165A" w:rsidP="0021165A">
      <w:pPr>
        <w:jc w:val="both"/>
        <w:rPr>
          <w:rFonts w:ascii="Times New Roman" w:hAnsi="Times New Roman"/>
          <w:bCs/>
        </w:rPr>
      </w:pPr>
      <w:r w:rsidRPr="00374DC2">
        <w:rPr>
          <w:rFonts w:ascii="Times New Roman" w:hAnsi="Times New Roman"/>
          <w:bCs/>
        </w:rPr>
        <w:t xml:space="preserve">Rīgā </w:t>
      </w:r>
      <w:r w:rsidRPr="00374DC2">
        <w:rPr>
          <w:rFonts w:ascii="Times New Roman" w:hAnsi="Times New Roman"/>
          <w:bCs/>
        </w:rPr>
        <w:tab/>
      </w:r>
      <w:r w:rsidRPr="00374DC2">
        <w:rPr>
          <w:rFonts w:ascii="Times New Roman" w:hAnsi="Times New Roman"/>
          <w:bCs/>
        </w:rPr>
        <w:tab/>
      </w:r>
      <w:r w:rsidRPr="00374DC2">
        <w:rPr>
          <w:rFonts w:ascii="Times New Roman" w:hAnsi="Times New Roman"/>
          <w:bCs/>
        </w:rPr>
        <w:tab/>
      </w:r>
      <w:r w:rsidRPr="00374DC2">
        <w:rPr>
          <w:rFonts w:ascii="Times New Roman" w:hAnsi="Times New Roman"/>
          <w:bCs/>
        </w:rPr>
        <w:tab/>
      </w:r>
      <w:r w:rsidRPr="00374DC2">
        <w:rPr>
          <w:rFonts w:ascii="Times New Roman" w:hAnsi="Times New Roman"/>
          <w:bCs/>
        </w:rPr>
        <w:tab/>
      </w:r>
      <w:r w:rsidRPr="00374DC2">
        <w:rPr>
          <w:rFonts w:ascii="Times New Roman" w:hAnsi="Times New Roman"/>
          <w:bCs/>
        </w:rPr>
        <w:tab/>
      </w:r>
      <w:r w:rsidRPr="00374DC2">
        <w:rPr>
          <w:rFonts w:ascii="Times New Roman" w:hAnsi="Times New Roman"/>
          <w:bCs/>
        </w:rPr>
        <w:tab/>
      </w:r>
      <w:r w:rsidRPr="00374DC2">
        <w:rPr>
          <w:rFonts w:ascii="Times New Roman" w:hAnsi="Times New Roman"/>
          <w:bCs/>
        </w:rPr>
        <w:tab/>
        <w:t xml:space="preserve">          2016.gada </w:t>
      </w:r>
      <w:r w:rsidRPr="005B4FA1">
        <w:rPr>
          <w:rFonts w:ascii="Times New Roman" w:hAnsi="Times New Roman"/>
          <w:bCs/>
        </w:rPr>
        <w:t>29.jūlijā</w:t>
      </w:r>
    </w:p>
    <w:p w:rsidR="0021165A" w:rsidRPr="00374DC2" w:rsidRDefault="0021165A" w:rsidP="0021165A">
      <w:pPr>
        <w:jc w:val="both"/>
        <w:rPr>
          <w:rFonts w:ascii="Times New Roman" w:hAnsi="Times New Roman"/>
          <w:b/>
          <w:bCs/>
        </w:rPr>
      </w:pPr>
    </w:p>
    <w:p w:rsidR="0021165A" w:rsidRPr="00374DC2" w:rsidRDefault="0021165A" w:rsidP="0021165A">
      <w:pPr>
        <w:jc w:val="both"/>
        <w:rPr>
          <w:rFonts w:ascii="Times New Roman" w:hAnsi="Times New Roman"/>
          <w:b/>
          <w:bCs/>
        </w:rPr>
      </w:pPr>
    </w:p>
    <w:p w:rsidR="0021165A" w:rsidRPr="00374DC2" w:rsidRDefault="0021165A" w:rsidP="0021165A">
      <w:pPr>
        <w:pStyle w:val="ListParagraph"/>
        <w:numPr>
          <w:ilvl w:val="0"/>
          <w:numId w:val="1"/>
        </w:numPr>
        <w:spacing w:line="276" w:lineRule="auto"/>
        <w:ind w:right="-624"/>
        <w:jc w:val="both"/>
        <w:rPr>
          <w:rFonts w:ascii="Times New Roman" w:eastAsia="Times New Roman" w:hAnsi="Times New Roman"/>
          <w:bCs/>
          <w:lang w:eastAsia="lv-LV"/>
        </w:rPr>
      </w:pPr>
      <w:r w:rsidRPr="00374DC2">
        <w:rPr>
          <w:rFonts w:ascii="Times New Roman" w:eastAsia="Times New Roman" w:hAnsi="Times New Roman"/>
          <w:b/>
          <w:lang w:eastAsia="lv-LV"/>
        </w:rPr>
        <w:t>Pasūtītājs</w:t>
      </w:r>
      <w:r w:rsidRPr="00374DC2">
        <w:rPr>
          <w:rFonts w:ascii="Times New Roman" w:eastAsia="Times New Roman" w:hAnsi="Times New Roman"/>
          <w:bCs/>
          <w:lang w:eastAsia="lv-LV"/>
        </w:rPr>
        <w:t xml:space="preserve">: </w:t>
      </w:r>
      <w:r w:rsidRPr="00374DC2">
        <w:rPr>
          <w:rFonts w:ascii="Times New Roman" w:eastAsia="Times New Roman" w:hAnsi="Times New Roman"/>
          <w:lang w:eastAsia="lv-LV"/>
        </w:rPr>
        <w:t xml:space="preserve">Latvijas Universitāte, izglītības iestādes reģistrācijas Nr. </w:t>
      </w:r>
      <w:r w:rsidRPr="00374DC2">
        <w:rPr>
          <w:rFonts w:ascii="Times New Roman" w:hAnsi="Times New Roman"/>
        </w:rPr>
        <w:t>3341000218</w:t>
      </w:r>
      <w:r w:rsidRPr="00374DC2">
        <w:rPr>
          <w:rFonts w:ascii="Times New Roman" w:eastAsia="Times New Roman" w:hAnsi="Times New Roman"/>
          <w:lang w:eastAsia="lv-LV"/>
        </w:rPr>
        <w:t xml:space="preserve">, juridiskā adrese </w:t>
      </w:r>
      <w:r w:rsidRPr="00374DC2">
        <w:rPr>
          <w:rFonts w:ascii="Times New Roman" w:eastAsia="Times New Roman" w:hAnsi="Times New Roman"/>
        </w:rPr>
        <w:t>Raiņa bulvāris 19, Rīga, LV-1586.</w:t>
      </w:r>
    </w:p>
    <w:p w:rsidR="0021165A" w:rsidRPr="00374DC2" w:rsidRDefault="0021165A" w:rsidP="0021165A">
      <w:pPr>
        <w:pStyle w:val="ListParagraph"/>
        <w:numPr>
          <w:ilvl w:val="0"/>
          <w:numId w:val="1"/>
        </w:numPr>
        <w:spacing w:line="276" w:lineRule="auto"/>
        <w:ind w:right="-624"/>
        <w:jc w:val="both"/>
        <w:rPr>
          <w:rFonts w:ascii="Times New Roman" w:eastAsia="Times New Roman" w:hAnsi="Times New Roman"/>
          <w:bCs/>
          <w:lang w:eastAsia="lv-LV"/>
        </w:rPr>
      </w:pPr>
      <w:r w:rsidRPr="00374DC2">
        <w:rPr>
          <w:rFonts w:ascii="Times New Roman" w:eastAsia="Times New Roman" w:hAnsi="Times New Roman"/>
          <w:b/>
          <w:bCs/>
          <w:lang w:eastAsia="lv-LV"/>
        </w:rPr>
        <w:t xml:space="preserve">Iepirkuma komisija: </w:t>
      </w:r>
      <w:r w:rsidRPr="00374DC2">
        <w:rPr>
          <w:rFonts w:ascii="Times New Roman" w:hAnsi="Times New Roman"/>
        </w:rPr>
        <w:t>ar Latvijas Universitātes 2016. gada 22. februāra LU rīkojumu Nr. 1/86 “Par Latvijas Universitātes iepirkumu komisiju sastāviem” izveidota Latvijas Universitātes Centralizēto iepirkumu komisija.</w:t>
      </w:r>
    </w:p>
    <w:p w:rsidR="0021165A" w:rsidRPr="00374DC2" w:rsidRDefault="0021165A" w:rsidP="0021165A">
      <w:pPr>
        <w:pStyle w:val="ListParagraph"/>
        <w:numPr>
          <w:ilvl w:val="0"/>
          <w:numId w:val="1"/>
        </w:numPr>
        <w:spacing w:line="276" w:lineRule="auto"/>
        <w:ind w:right="-624"/>
        <w:jc w:val="both"/>
        <w:rPr>
          <w:rFonts w:ascii="Times New Roman" w:eastAsia="Times New Roman" w:hAnsi="Times New Roman"/>
          <w:bCs/>
          <w:lang w:eastAsia="lv-LV"/>
        </w:rPr>
      </w:pPr>
      <w:r w:rsidRPr="00374DC2">
        <w:rPr>
          <w:rFonts w:ascii="Times New Roman" w:eastAsia="Times New Roman" w:hAnsi="Times New Roman"/>
          <w:b/>
          <w:bCs/>
          <w:lang w:eastAsia="lv-LV"/>
        </w:rPr>
        <w:t xml:space="preserve">Iepirkuma priekšmets: </w:t>
      </w:r>
      <w:r w:rsidRPr="00374DC2">
        <w:rPr>
          <w:rFonts w:ascii="Times New Roman" w:hAnsi="Times New Roman"/>
        </w:rPr>
        <w:t>Rakstiskās un mutiskās tulkošanas pakalpojumu sniegšana LU vajadzībām.</w:t>
      </w:r>
    </w:p>
    <w:p w:rsidR="0021165A" w:rsidRPr="00374DC2" w:rsidRDefault="0021165A" w:rsidP="0021165A">
      <w:pPr>
        <w:pStyle w:val="ListParagraph"/>
        <w:numPr>
          <w:ilvl w:val="0"/>
          <w:numId w:val="2"/>
        </w:numPr>
        <w:spacing w:line="276" w:lineRule="auto"/>
        <w:ind w:right="-624"/>
        <w:jc w:val="both"/>
        <w:rPr>
          <w:rFonts w:ascii="Times New Roman" w:eastAsia="Times New Roman" w:hAnsi="Times New Roman"/>
          <w:bCs/>
          <w:lang w:eastAsia="lv-LV"/>
        </w:rPr>
      </w:pPr>
      <w:r w:rsidRPr="00374DC2">
        <w:rPr>
          <w:rFonts w:ascii="Times New Roman" w:eastAsia="Times New Roman" w:hAnsi="Times New Roman"/>
          <w:b/>
          <w:bCs/>
          <w:lang w:eastAsia="lv-LV"/>
        </w:rPr>
        <w:t xml:space="preserve">CPV nomenklatūras kods: </w:t>
      </w:r>
      <w:r w:rsidRPr="00374DC2">
        <w:rPr>
          <w:rFonts w:ascii="Times New Roman" w:hAnsi="Times New Roman"/>
        </w:rPr>
        <w:t>79540000-1 (Mutiskās tulkošanas pakalpojumi), 79530000-8 (Rakstiskās tulkošanas pakalpojumi), 79552000-8 (Tekstapstrādes pakalpojumi), pakalpojumu kategorijas Nr. 27.</w:t>
      </w:r>
    </w:p>
    <w:p w:rsidR="0021165A" w:rsidRPr="00374DC2" w:rsidRDefault="0021165A" w:rsidP="0021165A">
      <w:pPr>
        <w:pStyle w:val="ListParagraph"/>
        <w:numPr>
          <w:ilvl w:val="0"/>
          <w:numId w:val="2"/>
        </w:numPr>
        <w:spacing w:line="276" w:lineRule="auto"/>
        <w:ind w:right="-624"/>
        <w:jc w:val="both"/>
        <w:rPr>
          <w:rFonts w:ascii="Times New Roman" w:eastAsia="Times New Roman" w:hAnsi="Times New Roman"/>
          <w:bCs/>
          <w:lang w:eastAsia="lv-LV"/>
        </w:rPr>
      </w:pPr>
      <w:r w:rsidRPr="00374DC2">
        <w:rPr>
          <w:rFonts w:ascii="Times New Roman" w:eastAsia="Times New Roman" w:hAnsi="Times New Roman"/>
          <w:b/>
          <w:bCs/>
          <w:lang w:eastAsia="lv-LV"/>
        </w:rPr>
        <w:t>Piedāvājuma izvēles kritērijs:</w:t>
      </w:r>
      <w:r w:rsidRPr="00374DC2">
        <w:rPr>
          <w:rFonts w:ascii="Times New Roman" w:eastAsia="Times New Roman" w:hAnsi="Times New Roman"/>
          <w:bCs/>
          <w:lang w:eastAsia="lv-LV"/>
        </w:rPr>
        <w:t xml:space="preserve"> saimnieciski izdevīgākais piedāvājums, kas iegūs visaugstāko punktu skaitu.</w:t>
      </w:r>
    </w:p>
    <w:p w:rsidR="0021165A" w:rsidRPr="00374DC2" w:rsidRDefault="0021165A" w:rsidP="0021165A">
      <w:pPr>
        <w:pStyle w:val="ListParagraph"/>
        <w:numPr>
          <w:ilvl w:val="0"/>
          <w:numId w:val="2"/>
        </w:numPr>
        <w:spacing w:line="276" w:lineRule="auto"/>
        <w:ind w:right="-624"/>
        <w:jc w:val="both"/>
        <w:rPr>
          <w:rFonts w:ascii="Times New Roman" w:eastAsia="Times New Roman" w:hAnsi="Times New Roman"/>
          <w:bCs/>
          <w:lang w:eastAsia="lv-LV"/>
        </w:rPr>
      </w:pPr>
      <w:r w:rsidRPr="00374DC2">
        <w:rPr>
          <w:rFonts w:ascii="Times New Roman" w:eastAsia="Times New Roman" w:hAnsi="Times New Roman"/>
          <w:b/>
          <w:bCs/>
          <w:lang w:eastAsia="lv-LV"/>
        </w:rPr>
        <w:t xml:space="preserve">Piedāvājuma iesniegšanas termiņš: </w:t>
      </w:r>
      <w:r w:rsidRPr="00374DC2">
        <w:rPr>
          <w:rFonts w:ascii="Times New Roman" w:eastAsia="Times New Roman" w:hAnsi="Times New Roman"/>
          <w:bCs/>
          <w:lang w:eastAsia="lv-LV"/>
        </w:rPr>
        <w:t>līdz</w:t>
      </w:r>
      <w:r w:rsidRPr="00374DC2">
        <w:rPr>
          <w:rFonts w:ascii="Times New Roman" w:eastAsia="Times New Roman" w:hAnsi="Times New Roman"/>
          <w:b/>
          <w:bCs/>
          <w:lang w:eastAsia="lv-LV"/>
        </w:rPr>
        <w:t xml:space="preserve"> </w:t>
      </w:r>
      <w:r w:rsidRPr="00374DC2">
        <w:rPr>
          <w:rFonts w:ascii="Times New Roman" w:eastAsia="Times New Roman" w:hAnsi="Times New Roman"/>
          <w:bCs/>
          <w:lang w:eastAsia="lv-LV"/>
        </w:rPr>
        <w:t>2016.gada 16.maijam plkst. 1</w:t>
      </w:r>
      <w:r>
        <w:rPr>
          <w:rFonts w:ascii="Times New Roman" w:eastAsia="Times New Roman" w:hAnsi="Times New Roman"/>
          <w:bCs/>
          <w:lang w:eastAsia="lv-LV"/>
        </w:rPr>
        <w:t>2</w:t>
      </w:r>
      <w:r w:rsidRPr="00374DC2">
        <w:rPr>
          <w:rFonts w:ascii="Times New Roman" w:eastAsia="Times New Roman" w:hAnsi="Times New Roman"/>
          <w:bCs/>
          <w:lang w:eastAsia="lv-LV"/>
        </w:rPr>
        <w:t>:00.</w:t>
      </w:r>
    </w:p>
    <w:p w:rsidR="0021165A" w:rsidRPr="00374DC2" w:rsidRDefault="0021165A" w:rsidP="0021165A">
      <w:pPr>
        <w:pStyle w:val="ListParagraph"/>
        <w:numPr>
          <w:ilvl w:val="0"/>
          <w:numId w:val="2"/>
        </w:numPr>
        <w:jc w:val="both"/>
        <w:rPr>
          <w:rFonts w:ascii="Times New Roman" w:eastAsia="Times New Roman" w:hAnsi="Times New Roman"/>
          <w:bCs/>
          <w:lang w:eastAsia="lv-LV"/>
        </w:rPr>
      </w:pPr>
      <w:r w:rsidRPr="00374DC2">
        <w:rPr>
          <w:rFonts w:ascii="Times New Roman" w:eastAsia="Times New Roman" w:hAnsi="Times New Roman"/>
          <w:b/>
          <w:bCs/>
          <w:lang w:eastAsia="lv-LV"/>
        </w:rPr>
        <w:t xml:space="preserve">Lēmums: </w:t>
      </w:r>
      <w:r w:rsidRPr="00374DC2">
        <w:rPr>
          <w:rFonts w:ascii="Times New Roman" w:eastAsia="Times New Roman" w:hAnsi="Times New Roman"/>
          <w:bCs/>
          <w:lang w:eastAsia="lv-LV"/>
        </w:rPr>
        <w:t>pamatojoties uz Publisko iepirkumu likuma 8.</w:t>
      </w:r>
      <w:r w:rsidRPr="00374DC2">
        <w:rPr>
          <w:rFonts w:ascii="Times New Roman" w:eastAsia="Times New Roman" w:hAnsi="Times New Roman"/>
          <w:bCs/>
          <w:vertAlign w:val="superscript"/>
          <w:lang w:eastAsia="lv-LV"/>
        </w:rPr>
        <w:t xml:space="preserve">2 </w:t>
      </w:r>
      <w:r w:rsidRPr="00374DC2">
        <w:rPr>
          <w:rFonts w:ascii="Times New Roman" w:eastAsia="Times New Roman" w:hAnsi="Times New Roman"/>
          <w:bCs/>
          <w:lang w:eastAsia="lv-LV"/>
        </w:rPr>
        <w:t>panta vienpadsmito daļu, kurā noteikts, ka pasūtītājs ir tiesīgs pārtraukt iepirkumu un neslēgt līgumu, ja tam ir objektīvs pamatojums, iepirkums tiek pārtraukts, jo vienīgais piedāvājumu iesniegušais pretendents neatbilst iepirkuma nolikumā noteiktajām prasībām.</w:t>
      </w:r>
    </w:p>
    <w:p w:rsidR="0021165A" w:rsidRPr="00374DC2" w:rsidRDefault="0021165A" w:rsidP="0021165A">
      <w:pPr>
        <w:pStyle w:val="ListParagraph"/>
        <w:numPr>
          <w:ilvl w:val="0"/>
          <w:numId w:val="2"/>
        </w:numPr>
        <w:jc w:val="both"/>
        <w:rPr>
          <w:rFonts w:ascii="Times New Roman" w:eastAsia="Times New Roman" w:hAnsi="Times New Roman"/>
          <w:bCs/>
          <w:lang w:eastAsia="lv-LV"/>
        </w:rPr>
      </w:pPr>
      <w:r w:rsidRPr="00374DC2">
        <w:rPr>
          <w:rFonts w:ascii="Times New Roman" w:eastAsia="Times New Roman" w:hAnsi="Times New Roman"/>
          <w:b/>
          <w:bCs/>
          <w:lang w:eastAsia="lv-LV"/>
        </w:rPr>
        <w:t>Lēmuma pieņemšanas datums:</w:t>
      </w:r>
      <w:r w:rsidRPr="00374DC2">
        <w:rPr>
          <w:rFonts w:ascii="Times New Roman" w:eastAsia="Times New Roman" w:hAnsi="Times New Roman"/>
          <w:bCs/>
          <w:lang w:eastAsia="lv-LV"/>
        </w:rPr>
        <w:t xml:space="preserve"> </w:t>
      </w:r>
      <w:r w:rsidRPr="006B318C">
        <w:rPr>
          <w:rFonts w:ascii="Times New Roman" w:eastAsia="Times New Roman" w:hAnsi="Times New Roman"/>
          <w:bCs/>
          <w:lang w:eastAsia="lv-LV"/>
        </w:rPr>
        <w:t>29.07.2016</w:t>
      </w:r>
      <w:r w:rsidRPr="00374DC2">
        <w:rPr>
          <w:rFonts w:ascii="Times New Roman" w:eastAsia="Times New Roman" w:hAnsi="Times New Roman"/>
          <w:bCs/>
          <w:lang w:eastAsia="lv-LV"/>
        </w:rPr>
        <w:t>.</w:t>
      </w:r>
    </w:p>
    <w:p w:rsidR="0021165A" w:rsidRPr="00374DC2" w:rsidRDefault="0021165A" w:rsidP="0021165A">
      <w:pPr>
        <w:pStyle w:val="ListParagraph"/>
        <w:numPr>
          <w:ilvl w:val="0"/>
          <w:numId w:val="2"/>
        </w:numPr>
        <w:spacing w:line="276" w:lineRule="auto"/>
        <w:ind w:right="-624"/>
        <w:jc w:val="both"/>
        <w:rPr>
          <w:rFonts w:ascii="Times New Roman" w:eastAsia="Times New Roman" w:hAnsi="Times New Roman"/>
          <w:bCs/>
          <w:lang w:eastAsia="lv-LV"/>
        </w:rPr>
      </w:pPr>
      <w:r w:rsidRPr="00374DC2">
        <w:rPr>
          <w:rFonts w:ascii="Times New Roman" w:eastAsia="Times New Roman" w:hAnsi="Times New Roman"/>
          <w:b/>
          <w:bCs/>
          <w:lang w:eastAsia="lv-LV"/>
        </w:rPr>
        <w:t>Pretendenti, kuri līdz 2016. gada 1</w:t>
      </w:r>
      <w:r>
        <w:rPr>
          <w:rFonts w:ascii="Times New Roman" w:eastAsia="Times New Roman" w:hAnsi="Times New Roman"/>
          <w:b/>
          <w:bCs/>
          <w:lang w:eastAsia="lv-LV"/>
        </w:rPr>
        <w:t>6</w:t>
      </w:r>
      <w:r w:rsidRPr="00374DC2">
        <w:rPr>
          <w:rFonts w:ascii="Times New Roman" w:eastAsia="Times New Roman" w:hAnsi="Times New Roman"/>
          <w:b/>
          <w:bCs/>
          <w:lang w:eastAsia="lv-LV"/>
        </w:rPr>
        <w:t>. maijam, plkst. 1</w:t>
      </w:r>
      <w:r>
        <w:rPr>
          <w:rFonts w:ascii="Times New Roman" w:eastAsia="Times New Roman" w:hAnsi="Times New Roman"/>
          <w:b/>
          <w:bCs/>
          <w:lang w:eastAsia="lv-LV"/>
        </w:rPr>
        <w:t>2</w:t>
      </w:r>
      <w:r w:rsidRPr="00374DC2">
        <w:rPr>
          <w:rFonts w:ascii="Times New Roman" w:eastAsia="Times New Roman" w:hAnsi="Times New Roman"/>
          <w:b/>
          <w:bCs/>
          <w:lang w:eastAsia="lv-LV"/>
        </w:rPr>
        <w:t>:00 iesniedza piedāvājumus:</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392"/>
        <w:gridCol w:w="4305"/>
      </w:tblGrid>
      <w:tr w:rsidR="0021165A" w:rsidRPr="00374DC2" w:rsidTr="00555C57">
        <w:trPr>
          <w:trHeight w:val="467"/>
        </w:trPr>
        <w:tc>
          <w:tcPr>
            <w:tcW w:w="943" w:type="dxa"/>
            <w:shd w:val="clear" w:color="auto" w:fill="auto"/>
            <w:vAlign w:val="center"/>
          </w:tcPr>
          <w:p w:rsidR="0021165A" w:rsidRPr="00374DC2" w:rsidRDefault="0021165A" w:rsidP="00555C57">
            <w:pPr>
              <w:spacing w:line="276" w:lineRule="auto"/>
              <w:jc w:val="center"/>
              <w:rPr>
                <w:rFonts w:ascii="Times New Roman" w:hAnsi="Times New Roman"/>
                <w:b/>
              </w:rPr>
            </w:pPr>
            <w:r w:rsidRPr="00374DC2">
              <w:rPr>
                <w:rFonts w:ascii="Times New Roman" w:hAnsi="Times New Roman"/>
                <w:b/>
              </w:rPr>
              <w:t>Nr.p.k.</w:t>
            </w:r>
          </w:p>
        </w:tc>
        <w:tc>
          <w:tcPr>
            <w:tcW w:w="3392" w:type="dxa"/>
            <w:shd w:val="clear" w:color="auto" w:fill="auto"/>
            <w:vAlign w:val="center"/>
          </w:tcPr>
          <w:p w:rsidR="0021165A" w:rsidRPr="00374DC2" w:rsidRDefault="0021165A" w:rsidP="00555C57">
            <w:pPr>
              <w:spacing w:line="276" w:lineRule="auto"/>
              <w:jc w:val="center"/>
              <w:rPr>
                <w:rFonts w:ascii="Times New Roman" w:hAnsi="Times New Roman"/>
                <w:b/>
              </w:rPr>
            </w:pPr>
            <w:r w:rsidRPr="00374DC2">
              <w:rPr>
                <w:rFonts w:ascii="Times New Roman" w:hAnsi="Times New Roman"/>
                <w:b/>
              </w:rPr>
              <w:t>Pretendenta nosaukums</w:t>
            </w:r>
          </w:p>
        </w:tc>
        <w:tc>
          <w:tcPr>
            <w:tcW w:w="4305" w:type="dxa"/>
            <w:shd w:val="clear" w:color="auto" w:fill="auto"/>
            <w:vAlign w:val="center"/>
          </w:tcPr>
          <w:p w:rsidR="0021165A" w:rsidRPr="00374DC2" w:rsidRDefault="0021165A" w:rsidP="00555C57">
            <w:pPr>
              <w:spacing w:line="276" w:lineRule="auto"/>
              <w:jc w:val="center"/>
              <w:rPr>
                <w:rFonts w:ascii="Times New Roman" w:hAnsi="Times New Roman"/>
                <w:b/>
              </w:rPr>
            </w:pPr>
            <w:r w:rsidRPr="00374DC2">
              <w:rPr>
                <w:rFonts w:ascii="Times New Roman" w:hAnsi="Times New Roman"/>
                <w:b/>
              </w:rPr>
              <w:t xml:space="preserve">Piedāvātā cena kopā EUR bez PVN </w:t>
            </w:r>
          </w:p>
        </w:tc>
      </w:tr>
      <w:tr w:rsidR="0021165A" w:rsidRPr="00374DC2" w:rsidTr="00555C57">
        <w:trPr>
          <w:trHeight w:val="350"/>
        </w:trPr>
        <w:tc>
          <w:tcPr>
            <w:tcW w:w="943" w:type="dxa"/>
            <w:shd w:val="clear" w:color="auto" w:fill="auto"/>
          </w:tcPr>
          <w:p w:rsidR="0021165A" w:rsidRPr="00374DC2" w:rsidRDefault="0021165A" w:rsidP="00555C57">
            <w:pPr>
              <w:spacing w:line="276" w:lineRule="auto"/>
              <w:rPr>
                <w:rFonts w:ascii="Times New Roman" w:hAnsi="Times New Roman"/>
              </w:rPr>
            </w:pPr>
            <w:r w:rsidRPr="00374DC2">
              <w:rPr>
                <w:rFonts w:ascii="Times New Roman" w:hAnsi="Times New Roman"/>
              </w:rPr>
              <w:t>1.</w:t>
            </w:r>
          </w:p>
        </w:tc>
        <w:tc>
          <w:tcPr>
            <w:tcW w:w="3392" w:type="dxa"/>
            <w:shd w:val="clear" w:color="auto" w:fill="auto"/>
            <w:vAlign w:val="center"/>
          </w:tcPr>
          <w:p w:rsidR="0021165A" w:rsidRPr="00374DC2" w:rsidRDefault="0021165A" w:rsidP="00555C57">
            <w:pPr>
              <w:spacing w:line="276" w:lineRule="auto"/>
              <w:rPr>
                <w:rFonts w:ascii="Times New Roman" w:hAnsi="Times New Roman"/>
              </w:rPr>
            </w:pPr>
            <w:r>
              <w:rPr>
                <w:rFonts w:ascii="Times New Roman" w:hAnsi="Times New Roman"/>
              </w:rPr>
              <w:t>Sabiedrība ar ierobežotu atbildību</w:t>
            </w:r>
            <w:r w:rsidRPr="00374DC2">
              <w:rPr>
                <w:rFonts w:ascii="Times New Roman" w:hAnsi="Times New Roman"/>
              </w:rPr>
              <w:t xml:space="preserve"> “</w:t>
            </w:r>
            <w:r>
              <w:rPr>
                <w:rFonts w:ascii="Times New Roman" w:hAnsi="Times New Roman"/>
              </w:rPr>
              <w:t>Amber Line</w:t>
            </w:r>
            <w:r w:rsidRPr="00374DC2">
              <w:rPr>
                <w:rFonts w:ascii="Times New Roman" w:hAnsi="Times New Roman"/>
              </w:rPr>
              <w:t>”</w:t>
            </w:r>
          </w:p>
        </w:tc>
        <w:tc>
          <w:tcPr>
            <w:tcW w:w="4305" w:type="dxa"/>
            <w:shd w:val="clear" w:color="auto" w:fill="auto"/>
            <w:vAlign w:val="center"/>
          </w:tcPr>
          <w:p w:rsidR="0021165A" w:rsidRDefault="0021165A" w:rsidP="00555C57">
            <w:pPr>
              <w:ind w:left="1179" w:hanging="992"/>
              <w:jc w:val="center"/>
              <w:rPr>
                <w:rFonts w:ascii="Times New Roman" w:hAnsi="Times New Roman"/>
              </w:rPr>
            </w:pPr>
            <w:r w:rsidRPr="00374DC2">
              <w:rPr>
                <w:rFonts w:ascii="Times New Roman" w:hAnsi="Times New Roman"/>
              </w:rPr>
              <w:t>A sadaļai- 204,92</w:t>
            </w:r>
          </w:p>
          <w:p w:rsidR="0021165A" w:rsidRDefault="0021165A" w:rsidP="00555C57">
            <w:pPr>
              <w:ind w:left="1179" w:hanging="992"/>
              <w:jc w:val="center"/>
              <w:rPr>
                <w:rFonts w:ascii="Times New Roman" w:hAnsi="Times New Roman"/>
              </w:rPr>
            </w:pPr>
            <w:r w:rsidRPr="00374DC2">
              <w:rPr>
                <w:rFonts w:ascii="Times New Roman" w:hAnsi="Times New Roman"/>
              </w:rPr>
              <w:t>B sadaļai- 1360,00</w:t>
            </w:r>
          </w:p>
          <w:p w:rsidR="0021165A" w:rsidRPr="00374DC2" w:rsidRDefault="0021165A" w:rsidP="00555C57">
            <w:pPr>
              <w:ind w:left="1179" w:hanging="992"/>
              <w:jc w:val="center"/>
              <w:rPr>
                <w:rFonts w:ascii="Times New Roman" w:hAnsi="Times New Roman"/>
              </w:rPr>
            </w:pPr>
            <w:r w:rsidRPr="00374DC2">
              <w:rPr>
                <w:rFonts w:ascii="Times New Roman" w:hAnsi="Times New Roman"/>
              </w:rPr>
              <w:t>C sadaļai- 17,98</w:t>
            </w:r>
          </w:p>
        </w:tc>
      </w:tr>
    </w:tbl>
    <w:p w:rsidR="0021165A" w:rsidRPr="00374DC2" w:rsidRDefault="0021165A" w:rsidP="0021165A">
      <w:pPr>
        <w:spacing w:line="276" w:lineRule="auto"/>
        <w:jc w:val="both"/>
        <w:rPr>
          <w:rFonts w:ascii="Times New Roman" w:eastAsia="Times New Roman" w:hAnsi="Times New Roman"/>
          <w:bCs/>
          <w:lang w:eastAsia="lv-LV"/>
        </w:rPr>
      </w:pPr>
    </w:p>
    <w:p w:rsidR="0021165A" w:rsidRPr="00374DC2" w:rsidRDefault="0021165A" w:rsidP="0021165A">
      <w:pPr>
        <w:pStyle w:val="ListParagraph"/>
        <w:numPr>
          <w:ilvl w:val="0"/>
          <w:numId w:val="2"/>
        </w:numPr>
        <w:spacing w:line="276" w:lineRule="auto"/>
        <w:jc w:val="both"/>
        <w:rPr>
          <w:rFonts w:ascii="Times New Roman" w:eastAsia="Times New Roman" w:hAnsi="Times New Roman"/>
          <w:bCs/>
          <w:lang w:eastAsia="lv-LV"/>
        </w:rPr>
      </w:pPr>
      <w:r w:rsidRPr="00374DC2">
        <w:rPr>
          <w:rFonts w:ascii="Times New Roman" w:eastAsia="Times New Roman" w:hAnsi="Times New Roman"/>
          <w:b/>
          <w:bCs/>
          <w:lang w:eastAsia="lv-LV"/>
        </w:rPr>
        <w:t xml:space="preserve">Piedāvājumu atbilstība Nolikumā noteiktajām prasībām un kritērijiem: </w:t>
      </w:r>
      <w:r>
        <w:rPr>
          <w:rFonts w:ascii="Times New Roman" w:eastAsia="Times New Roman" w:hAnsi="Times New Roman"/>
          <w:b/>
          <w:bCs/>
          <w:lang w:eastAsia="lv-LV"/>
        </w:rPr>
        <w:t xml:space="preserve"> </w:t>
      </w:r>
      <w:r w:rsidRPr="00A74E69">
        <w:rPr>
          <w:rFonts w:ascii="Times New Roman" w:hAnsi="Times New Roman"/>
        </w:rPr>
        <w:t>Sabiedrība</w:t>
      </w:r>
      <w:r>
        <w:rPr>
          <w:rFonts w:ascii="Times New Roman" w:hAnsi="Times New Roman"/>
        </w:rPr>
        <w:t>s</w:t>
      </w:r>
      <w:r w:rsidRPr="00A74E69">
        <w:rPr>
          <w:rFonts w:ascii="Times New Roman" w:hAnsi="Times New Roman"/>
        </w:rPr>
        <w:t xml:space="preserve"> ar ierobežotu atbildību “Amber Line”</w:t>
      </w:r>
      <w:r>
        <w:rPr>
          <w:rFonts w:ascii="Times New Roman" w:hAnsi="Times New Roman"/>
        </w:rPr>
        <w:t xml:space="preserve"> iesniegtais piedāvājums  neatbilst visām Iepirkuma nolikumā noteiktajām prasībām.</w:t>
      </w:r>
    </w:p>
    <w:p w:rsidR="0021165A" w:rsidRPr="00227F27" w:rsidRDefault="0021165A" w:rsidP="0021165A">
      <w:pPr>
        <w:pStyle w:val="ListParagraph"/>
        <w:numPr>
          <w:ilvl w:val="0"/>
          <w:numId w:val="2"/>
        </w:numPr>
        <w:jc w:val="both"/>
        <w:rPr>
          <w:rFonts w:ascii="Times New Roman" w:hAnsi="Times New Roman"/>
          <w:color w:val="000000"/>
        </w:rPr>
      </w:pPr>
      <w:r w:rsidRPr="00227F27">
        <w:rPr>
          <w:rFonts w:ascii="Times New Roman" w:eastAsia="Times New Roman" w:hAnsi="Times New Roman"/>
          <w:b/>
          <w:bCs/>
          <w:lang w:eastAsia="lv-LV"/>
        </w:rPr>
        <w:t xml:space="preserve">Noraidītie pretendenti un to noraidīšanas iemesli: </w:t>
      </w:r>
      <w:r w:rsidRPr="00227F27">
        <w:rPr>
          <w:rFonts w:ascii="Times New Roman" w:hAnsi="Times New Roman"/>
        </w:rPr>
        <w:t>Sabiedrība ar ierobežotu atbildību “Amber Line”</w:t>
      </w:r>
      <w:r w:rsidRPr="00227F27">
        <w:rPr>
          <w:rFonts w:ascii="Times New Roman" w:eastAsia="Times New Roman" w:hAnsi="Times New Roman"/>
          <w:bCs/>
          <w:lang w:eastAsia="lv-LV"/>
        </w:rPr>
        <w:t>. Noraidīšanas iemesls:</w:t>
      </w:r>
      <w:r w:rsidRPr="00227F27">
        <w:rPr>
          <w:rFonts w:ascii="Times New Roman" w:hAnsi="Times New Roman"/>
        </w:rPr>
        <w:t xml:space="preserve"> pretendent</w:t>
      </w:r>
      <w:r>
        <w:rPr>
          <w:rFonts w:ascii="Times New Roman" w:hAnsi="Times New Roman"/>
        </w:rPr>
        <w:t>a</w:t>
      </w:r>
      <w:r w:rsidRPr="00227F27">
        <w:rPr>
          <w:rFonts w:ascii="Times New Roman" w:hAnsi="Times New Roman"/>
        </w:rPr>
        <w:t xml:space="preserve"> Sabiedrība ar ierobežotu atbildību “Amber Line” </w:t>
      </w:r>
      <w:r>
        <w:rPr>
          <w:rFonts w:ascii="Times New Roman" w:hAnsi="Times New Roman"/>
        </w:rPr>
        <w:t xml:space="preserve">iesneigtais piedāvājums </w:t>
      </w:r>
      <w:r w:rsidRPr="00227F27">
        <w:rPr>
          <w:rFonts w:ascii="Times New Roman" w:hAnsi="Times New Roman"/>
        </w:rPr>
        <w:t>neatbilst Iepirkuma nolikuma 2.6.4. un  2.6.6.apakšpunktā minētajām prasībām.</w:t>
      </w:r>
    </w:p>
    <w:p w:rsidR="0021165A" w:rsidRPr="00227F27" w:rsidRDefault="0021165A" w:rsidP="0021165A">
      <w:pPr>
        <w:pStyle w:val="ListParagraph"/>
        <w:numPr>
          <w:ilvl w:val="0"/>
          <w:numId w:val="2"/>
        </w:numPr>
        <w:jc w:val="both"/>
        <w:rPr>
          <w:rFonts w:ascii="Times New Roman" w:hAnsi="Times New Roman"/>
          <w:color w:val="000000"/>
        </w:rPr>
      </w:pPr>
      <w:r w:rsidRPr="00227F27">
        <w:rPr>
          <w:rFonts w:ascii="Times New Roman" w:eastAsia="Times New Roman" w:hAnsi="Times New Roman"/>
          <w:bCs/>
          <w:lang w:eastAsia="lv-LV"/>
        </w:rPr>
        <w:lastRenderedPageBreak/>
        <w:t>Saskaņā ar Publisko iepirkumu likuma 8.</w:t>
      </w:r>
      <w:r w:rsidRPr="00227F27">
        <w:rPr>
          <w:rFonts w:ascii="Times New Roman" w:eastAsia="Times New Roman" w:hAnsi="Times New Roman"/>
          <w:bCs/>
          <w:vertAlign w:val="superscript"/>
          <w:lang w:eastAsia="lv-LV"/>
        </w:rPr>
        <w:t xml:space="preserve">2 </w:t>
      </w:r>
      <w:r w:rsidRPr="00227F27">
        <w:rPr>
          <w:rFonts w:ascii="Times New Roman" w:eastAsia="Times New Roman" w:hAnsi="Times New Roman"/>
          <w:bCs/>
          <w:lang w:eastAsia="lv-LV"/>
        </w:rPr>
        <w:t>panta astoņpadsmito daļu Pretendents, kas iesniedzis piedāvājumu Iepirkumā, un kas uzskata, ka ir aizskartas tā tiesības vai iespējams šo tiesību aizskārums, šo iepirkumu komisijas lēmumu var pārsūdzēt Administratīvajā rajona tiesā viena mēneša laikā no tā spēkā stāšanās dienas.</w:t>
      </w:r>
    </w:p>
    <w:p w:rsidR="00EF388B" w:rsidRPr="00374DC2" w:rsidRDefault="00EF388B" w:rsidP="00EF388B">
      <w:pPr>
        <w:pStyle w:val="ListParagraph"/>
        <w:jc w:val="both"/>
        <w:rPr>
          <w:rFonts w:ascii="Times New Roman" w:hAnsi="Times New Roman"/>
          <w:color w:val="000000"/>
        </w:rPr>
      </w:pPr>
    </w:p>
    <w:p w:rsidR="00EF388B" w:rsidRPr="00374DC2" w:rsidRDefault="00EF388B" w:rsidP="00EF388B">
      <w:pPr>
        <w:rPr>
          <w:rFonts w:ascii="Times New Roman" w:hAnsi="Times New Roman"/>
          <w:color w:val="000000"/>
        </w:rPr>
      </w:pPr>
    </w:p>
    <w:tbl>
      <w:tblPr>
        <w:tblW w:w="5000" w:type="pct"/>
        <w:tblLook w:val="01E0" w:firstRow="1" w:lastRow="1" w:firstColumn="1" w:lastColumn="1" w:noHBand="0" w:noVBand="0"/>
      </w:tblPr>
      <w:tblGrid>
        <w:gridCol w:w="4283"/>
        <w:gridCol w:w="2008"/>
        <w:gridCol w:w="2231"/>
      </w:tblGrid>
      <w:tr w:rsidR="00EF388B" w:rsidRPr="00374DC2" w:rsidTr="00262520">
        <w:trPr>
          <w:trHeight w:val="252"/>
        </w:trPr>
        <w:tc>
          <w:tcPr>
            <w:tcW w:w="2513" w:type="pct"/>
          </w:tcPr>
          <w:p w:rsidR="00EF388B" w:rsidRPr="00374DC2" w:rsidRDefault="00EF388B" w:rsidP="00555C57">
            <w:pPr>
              <w:spacing w:line="360" w:lineRule="auto"/>
              <w:jc w:val="both"/>
              <w:rPr>
                <w:rFonts w:ascii="Times New Roman" w:hAnsi="Times New Roman"/>
              </w:rPr>
            </w:pPr>
            <w:r w:rsidRPr="00374DC2">
              <w:rPr>
                <w:rFonts w:ascii="Times New Roman" w:hAnsi="Times New Roman"/>
              </w:rPr>
              <w:t>Komisijas locekļi:</w:t>
            </w:r>
          </w:p>
        </w:tc>
        <w:tc>
          <w:tcPr>
            <w:tcW w:w="1178" w:type="pct"/>
            <w:vAlign w:val="center"/>
          </w:tcPr>
          <w:p w:rsidR="00EF388B" w:rsidRPr="00EF388B" w:rsidRDefault="00EF388B" w:rsidP="00555C57">
            <w:pPr>
              <w:spacing w:line="360" w:lineRule="auto"/>
              <w:jc w:val="center"/>
              <w:rPr>
                <w:rFonts w:ascii="Times New Roman" w:hAnsi="Times New Roman"/>
                <w:i/>
                <w:highlight w:val="yellow"/>
              </w:rPr>
            </w:pPr>
            <w:r w:rsidRPr="00EF388B">
              <w:rPr>
                <w:rFonts w:ascii="Times New Roman" w:hAnsi="Times New Roman"/>
                <w:i/>
              </w:rPr>
              <w:t>Paraksts</w:t>
            </w:r>
          </w:p>
        </w:tc>
        <w:tc>
          <w:tcPr>
            <w:tcW w:w="1309" w:type="pct"/>
          </w:tcPr>
          <w:p w:rsidR="00EF388B" w:rsidRPr="00A74E69" w:rsidRDefault="00EF388B" w:rsidP="00555C57">
            <w:pPr>
              <w:spacing w:line="360" w:lineRule="auto"/>
              <w:jc w:val="both"/>
              <w:rPr>
                <w:rFonts w:ascii="Times New Roman" w:hAnsi="Times New Roman"/>
              </w:rPr>
            </w:pPr>
            <w:r w:rsidRPr="00A74E69">
              <w:rPr>
                <w:rFonts w:ascii="Times New Roman" w:hAnsi="Times New Roman"/>
              </w:rPr>
              <w:t>/</w:t>
            </w:r>
            <w:r>
              <w:rPr>
                <w:rFonts w:ascii="Times New Roman" w:hAnsi="Times New Roman"/>
              </w:rPr>
              <w:t>Baiba Broka</w:t>
            </w:r>
            <w:r w:rsidRPr="00A74E69">
              <w:rPr>
                <w:rFonts w:ascii="Times New Roman" w:hAnsi="Times New Roman"/>
              </w:rPr>
              <w:t>/</w:t>
            </w:r>
          </w:p>
        </w:tc>
      </w:tr>
      <w:tr w:rsidR="00EF388B" w:rsidRPr="00374DC2" w:rsidTr="00262520">
        <w:trPr>
          <w:trHeight w:val="252"/>
        </w:trPr>
        <w:tc>
          <w:tcPr>
            <w:tcW w:w="2513" w:type="pct"/>
          </w:tcPr>
          <w:p w:rsidR="00EF388B" w:rsidRPr="00374DC2" w:rsidRDefault="00EF388B" w:rsidP="00555C57">
            <w:pPr>
              <w:spacing w:line="360" w:lineRule="auto"/>
              <w:jc w:val="both"/>
              <w:rPr>
                <w:rFonts w:ascii="Times New Roman" w:hAnsi="Times New Roman"/>
              </w:rPr>
            </w:pPr>
          </w:p>
        </w:tc>
        <w:tc>
          <w:tcPr>
            <w:tcW w:w="1178" w:type="pct"/>
            <w:vAlign w:val="center"/>
          </w:tcPr>
          <w:p w:rsidR="00EF388B" w:rsidRPr="00374DC2" w:rsidRDefault="00EF388B" w:rsidP="00555C57">
            <w:pPr>
              <w:spacing w:line="360" w:lineRule="auto"/>
              <w:jc w:val="center"/>
              <w:rPr>
                <w:rFonts w:ascii="Times New Roman" w:hAnsi="Times New Roman"/>
                <w:highlight w:val="yellow"/>
              </w:rPr>
            </w:pPr>
          </w:p>
        </w:tc>
        <w:tc>
          <w:tcPr>
            <w:tcW w:w="1309" w:type="pct"/>
          </w:tcPr>
          <w:p w:rsidR="00EF388B" w:rsidRPr="00A74E69" w:rsidRDefault="00EF388B" w:rsidP="00555C57">
            <w:pPr>
              <w:spacing w:line="360" w:lineRule="auto"/>
              <w:ind w:left="317" w:firstLine="283"/>
              <w:jc w:val="both"/>
              <w:rPr>
                <w:rFonts w:ascii="Times New Roman" w:hAnsi="Times New Roman"/>
              </w:rPr>
            </w:pPr>
          </w:p>
        </w:tc>
      </w:tr>
      <w:tr w:rsidR="00EF388B" w:rsidRPr="00374DC2" w:rsidTr="00262520">
        <w:trPr>
          <w:trHeight w:val="252"/>
        </w:trPr>
        <w:tc>
          <w:tcPr>
            <w:tcW w:w="2513" w:type="pct"/>
          </w:tcPr>
          <w:p w:rsidR="00EF388B" w:rsidRPr="00374DC2" w:rsidRDefault="00EF388B" w:rsidP="00555C57">
            <w:pPr>
              <w:spacing w:line="360" w:lineRule="auto"/>
              <w:jc w:val="both"/>
              <w:rPr>
                <w:rFonts w:ascii="Times New Roman" w:hAnsi="Times New Roman"/>
              </w:rPr>
            </w:pPr>
          </w:p>
        </w:tc>
        <w:tc>
          <w:tcPr>
            <w:tcW w:w="1178" w:type="pct"/>
            <w:vAlign w:val="center"/>
          </w:tcPr>
          <w:p w:rsidR="00EF388B" w:rsidRPr="00374DC2" w:rsidRDefault="00EF388B" w:rsidP="00555C57">
            <w:pPr>
              <w:spacing w:line="360" w:lineRule="auto"/>
              <w:jc w:val="center"/>
              <w:rPr>
                <w:rFonts w:ascii="Times New Roman" w:hAnsi="Times New Roman"/>
                <w:highlight w:val="yellow"/>
              </w:rPr>
            </w:pPr>
            <w:r w:rsidRPr="00EF388B">
              <w:rPr>
                <w:rFonts w:ascii="Times New Roman" w:hAnsi="Times New Roman"/>
                <w:i/>
              </w:rPr>
              <w:t>Paraksts</w:t>
            </w:r>
          </w:p>
        </w:tc>
        <w:tc>
          <w:tcPr>
            <w:tcW w:w="1309" w:type="pct"/>
          </w:tcPr>
          <w:p w:rsidR="00EF388B" w:rsidRPr="00A74E69" w:rsidRDefault="00EF388B" w:rsidP="00555C57">
            <w:pPr>
              <w:spacing w:line="360" w:lineRule="auto"/>
              <w:jc w:val="both"/>
              <w:rPr>
                <w:rFonts w:ascii="Times New Roman" w:hAnsi="Times New Roman"/>
              </w:rPr>
            </w:pPr>
            <w:r w:rsidRPr="00A74E69">
              <w:rPr>
                <w:rFonts w:ascii="Times New Roman" w:hAnsi="Times New Roman"/>
              </w:rPr>
              <w:t>/Anita Brakša/</w:t>
            </w:r>
          </w:p>
        </w:tc>
      </w:tr>
      <w:tr w:rsidR="00EF388B" w:rsidRPr="00374DC2" w:rsidTr="00262520">
        <w:trPr>
          <w:trHeight w:val="252"/>
        </w:trPr>
        <w:tc>
          <w:tcPr>
            <w:tcW w:w="2513" w:type="pct"/>
          </w:tcPr>
          <w:p w:rsidR="00EF388B" w:rsidRPr="00374DC2" w:rsidRDefault="00EF388B" w:rsidP="00555C57">
            <w:pPr>
              <w:spacing w:line="360" w:lineRule="auto"/>
              <w:jc w:val="both"/>
              <w:rPr>
                <w:rFonts w:ascii="Times New Roman" w:hAnsi="Times New Roman"/>
              </w:rPr>
            </w:pPr>
          </w:p>
        </w:tc>
        <w:tc>
          <w:tcPr>
            <w:tcW w:w="1178" w:type="pct"/>
            <w:vAlign w:val="center"/>
          </w:tcPr>
          <w:p w:rsidR="00EF388B" w:rsidRPr="00374DC2" w:rsidRDefault="00EF388B" w:rsidP="00555C57">
            <w:pPr>
              <w:spacing w:line="360" w:lineRule="auto"/>
              <w:jc w:val="center"/>
              <w:rPr>
                <w:rFonts w:ascii="Times New Roman" w:hAnsi="Times New Roman"/>
                <w:highlight w:val="yellow"/>
              </w:rPr>
            </w:pPr>
          </w:p>
        </w:tc>
        <w:tc>
          <w:tcPr>
            <w:tcW w:w="1309" w:type="pct"/>
          </w:tcPr>
          <w:p w:rsidR="00EF388B" w:rsidRPr="00A74E69" w:rsidRDefault="00EF388B" w:rsidP="00555C57">
            <w:pPr>
              <w:spacing w:line="360" w:lineRule="auto"/>
              <w:jc w:val="both"/>
              <w:rPr>
                <w:rFonts w:ascii="Times New Roman" w:hAnsi="Times New Roman"/>
              </w:rPr>
            </w:pPr>
          </w:p>
        </w:tc>
      </w:tr>
      <w:tr w:rsidR="00EF388B" w:rsidRPr="00374DC2" w:rsidTr="00262520">
        <w:trPr>
          <w:trHeight w:val="252"/>
        </w:trPr>
        <w:tc>
          <w:tcPr>
            <w:tcW w:w="2513" w:type="pct"/>
          </w:tcPr>
          <w:p w:rsidR="00EF388B" w:rsidRPr="00374DC2" w:rsidRDefault="00EF388B" w:rsidP="00555C57">
            <w:pPr>
              <w:spacing w:line="360" w:lineRule="auto"/>
              <w:jc w:val="both"/>
              <w:rPr>
                <w:rFonts w:ascii="Times New Roman" w:hAnsi="Times New Roman"/>
              </w:rPr>
            </w:pPr>
          </w:p>
        </w:tc>
        <w:tc>
          <w:tcPr>
            <w:tcW w:w="1178" w:type="pct"/>
            <w:vAlign w:val="center"/>
          </w:tcPr>
          <w:p w:rsidR="00EF388B" w:rsidRPr="00374DC2" w:rsidRDefault="00EF388B" w:rsidP="00555C57">
            <w:pPr>
              <w:spacing w:line="360" w:lineRule="auto"/>
              <w:jc w:val="center"/>
              <w:rPr>
                <w:rFonts w:ascii="Times New Roman" w:hAnsi="Times New Roman"/>
                <w:highlight w:val="yellow"/>
              </w:rPr>
            </w:pPr>
            <w:r w:rsidRPr="00EF388B">
              <w:rPr>
                <w:rFonts w:ascii="Times New Roman" w:hAnsi="Times New Roman"/>
                <w:i/>
              </w:rPr>
              <w:t>Paraksts</w:t>
            </w:r>
          </w:p>
        </w:tc>
        <w:tc>
          <w:tcPr>
            <w:tcW w:w="1309" w:type="pct"/>
          </w:tcPr>
          <w:p w:rsidR="00EF388B" w:rsidRPr="00A74E69" w:rsidRDefault="00EF388B" w:rsidP="00555C57">
            <w:pPr>
              <w:spacing w:line="360" w:lineRule="auto"/>
              <w:jc w:val="both"/>
              <w:rPr>
                <w:rFonts w:ascii="Times New Roman" w:hAnsi="Times New Roman"/>
              </w:rPr>
            </w:pPr>
            <w:r w:rsidRPr="00A74E69">
              <w:rPr>
                <w:rFonts w:ascii="Times New Roman" w:hAnsi="Times New Roman"/>
              </w:rPr>
              <w:t>/Jānis Priede/</w:t>
            </w:r>
          </w:p>
        </w:tc>
      </w:tr>
      <w:tr w:rsidR="00EF388B" w:rsidRPr="00374DC2" w:rsidTr="00262520">
        <w:trPr>
          <w:trHeight w:val="252"/>
        </w:trPr>
        <w:tc>
          <w:tcPr>
            <w:tcW w:w="2513" w:type="pct"/>
          </w:tcPr>
          <w:p w:rsidR="00EF388B" w:rsidRPr="00374DC2" w:rsidRDefault="00EF388B" w:rsidP="00555C57">
            <w:pPr>
              <w:spacing w:line="360" w:lineRule="auto"/>
              <w:jc w:val="both"/>
              <w:rPr>
                <w:rFonts w:ascii="Times New Roman" w:hAnsi="Times New Roman"/>
              </w:rPr>
            </w:pPr>
          </w:p>
        </w:tc>
        <w:tc>
          <w:tcPr>
            <w:tcW w:w="1178" w:type="pct"/>
            <w:vAlign w:val="center"/>
          </w:tcPr>
          <w:p w:rsidR="00EF388B" w:rsidRPr="00374DC2" w:rsidRDefault="00EF388B" w:rsidP="00555C57">
            <w:pPr>
              <w:spacing w:line="360" w:lineRule="auto"/>
              <w:jc w:val="center"/>
              <w:rPr>
                <w:rFonts w:ascii="Times New Roman" w:hAnsi="Times New Roman"/>
                <w:highlight w:val="yellow"/>
              </w:rPr>
            </w:pPr>
          </w:p>
        </w:tc>
        <w:tc>
          <w:tcPr>
            <w:tcW w:w="1309" w:type="pct"/>
          </w:tcPr>
          <w:p w:rsidR="00EF388B" w:rsidRPr="00A74E69" w:rsidRDefault="00EF388B" w:rsidP="00555C57">
            <w:pPr>
              <w:spacing w:line="360" w:lineRule="auto"/>
              <w:jc w:val="both"/>
              <w:rPr>
                <w:rFonts w:ascii="Times New Roman" w:hAnsi="Times New Roman"/>
              </w:rPr>
            </w:pPr>
          </w:p>
        </w:tc>
      </w:tr>
      <w:tr w:rsidR="00EF388B" w:rsidRPr="00374DC2" w:rsidTr="00262520">
        <w:trPr>
          <w:trHeight w:val="252"/>
        </w:trPr>
        <w:tc>
          <w:tcPr>
            <w:tcW w:w="2513" w:type="pct"/>
          </w:tcPr>
          <w:p w:rsidR="00EF388B" w:rsidRPr="00374DC2" w:rsidRDefault="00EF388B" w:rsidP="00555C57">
            <w:pPr>
              <w:spacing w:line="360" w:lineRule="auto"/>
              <w:jc w:val="both"/>
              <w:rPr>
                <w:rFonts w:ascii="Times New Roman" w:hAnsi="Times New Roman"/>
              </w:rPr>
            </w:pPr>
          </w:p>
        </w:tc>
        <w:tc>
          <w:tcPr>
            <w:tcW w:w="1178" w:type="pct"/>
            <w:vAlign w:val="center"/>
          </w:tcPr>
          <w:p w:rsidR="00EF388B" w:rsidRPr="00374DC2" w:rsidRDefault="00EF388B" w:rsidP="00555C57">
            <w:pPr>
              <w:spacing w:line="360" w:lineRule="auto"/>
              <w:jc w:val="center"/>
              <w:rPr>
                <w:rFonts w:ascii="Times New Roman" w:hAnsi="Times New Roman"/>
                <w:highlight w:val="yellow"/>
              </w:rPr>
            </w:pPr>
            <w:r w:rsidRPr="00EF388B">
              <w:rPr>
                <w:rFonts w:ascii="Times New Roman" w:hAnsi="Times New Roman"/>
                <w:i/>
              </w:rPr>
              <w:t>Paraksts</w:t>
            </w:r>
          </w:p>
        </w:tc>
        <w:tc>
          <w:tcPr>
            <w:tcW w:w="1309" w:type="pct"/>
          </w:tcPr>
          <w:p w:rsidR="00EF388B" w:rsidRPr="00A74E69" w:rsidRDefault="00EF388B" w:rsidP="00555C57">
            <w:pPr>
              <w:spacing w:line="360" w:lineRule="auto"/>
              <w:jc w:val="both"/>
              <w:rPr>
                <w:rFonts w:ascii="Times New Roman" w:hAnsi="Times New Roman"/>
              </w:rPr>
            </w:pPr>
            <w:r w:rsidRPr="00A74E69">
              <w:rPr>
                <w:rFonts w:ascii="Times New Roman" w:hAnsi="Times New Roman"/>
              </w:rPr>
              <w:t>/</w:t>
            </w:r>
            <w:r>
              <w:rPr>
                <w:rFonts w:ascii="Times New Roman" w:hAnsi="Times New Roman"/>
              </w:rPr>
              <w:t>K.Čikste</w:t>
            </w:r>
            <w:r w:rsidRPr="00A74E69">
              <w:rPr>
                <w:rFonts w:ascii="Times New Roman" w:hAnsi="Times New Roman"/>
              </w:rPr>
              <w:t>/</w:t>
            </w:r>
          </w:p>
        </w:tc>
      </w:tr>
      <w:tr w:rsidR="00EF388B" w:rsidRPr="00374DC2" w:rsidTr="00262520">
        <w:trPr>
          <w:trHeight w:val="252"/>
        </w:trPr>
        <w:tc>
          <w:tcPr>
            <w:tcW w:w="2513" w:type="pct"/>
          </w:tcPr>
          <w:p w:rsidR="00EF388B" w:rsidRPr="00374DC2" w:rsidRDefault="00EF388B" w:rsidP="00555C57">
            <w:pPr>
              <w:spacing w:line="360" w:lineRule="auto"/>
              <w:jc w:val="both"/>
              <w:rPr>
                <w:rFonts w:ascii="Times New Roman" w:hAnsi="Times New Roman"/>
              </w:rPr>
            </w:pPr>
          </w:p>
        </w:tc>
        <w:tc>
          <w:tcPr>
            <w:tcW w:w="1178" w:type="pct"/>
            <w:vAlign w:val="center"/>
          </w:tcPr>
          <w:p w:rsidR="00EF388B" w:rsidRPr="00374DC2" w:rsidRDefault="00EF388B" w:rsidP="00555C57">
            <w:pPr>
              <w:spacing w:line="360" w:lineRule="auto"/>
              <w:jc w:val="center"/>
              <w:rPr>
                <w:rFonts w:ascii="Times New Roman" w:hAnsi="Times New Roman"/>
                <w:highlight w:val="yellow"/>
              </w:rPr>
            </w:pPr>
          </w:p>
        </w:tc>
        <w:tc>
          <w:tcPr>
            <w:tcW w:w="1309" w:type="pct"/>
          </w:tcPr>
          <w:p w:rsidR="00EF388B" w:rsidRPr="00374DC2" w:rsidRDefault="00EF388B" w:rsidP="00555C57">
            <w:pPr>
              <w:spacing w:line="360" w:lineRule="auto"/>
              <w:jc w:val="both"/>
              <w:rPr>
                <w:rFonts w:ascii="Times New Roman" w:hAnsi="Times New Roman"/>
                <w:highlight w:val="yellow"/>
              </w:rPr>
            </w:pPr>
          </w:p>
        </w:tc>
      </w:tr>
      <w:tr w:rsidR="00EF388B" w:rsidRPr="00374DC2" w:rsidTr="00262520">
        <w:trPr>
          <w:trHeight w:val="252"/>
        </w:trPr>
        <w:tc>
          <w:tcPr>
            <w:tcW w:w="2513" w:type="pct"/>
          </w:tcPr>
          <w:p w:rsidR="00EF388B" w:rsidRPr="00374DC2" w:rsidRDefault="00EF388B" w:rsidP="00555C57">
            <w:pPr>
              <w:spacing w:line="360" w:lineRule="auto"/>
              <w:jc w:val="both"/>
              <w:rPr>
                <w:rFonts w:ascii="Times New Roman" w:hAnsi="Times New Roman"/>
              </w:rPr>
            </w:pPr>
          </w:p>
        </w:tc>
        <w:tc>
          <w:tcPr>
            <w:tcW w:w="1178" w:type="pct"/>
            <w:vAlign w:val="center"/>
          </w:tcPr>
          <w:p w:rsidR="00EF388B" w:rsidRPr="00374DC2" w:rsidRDefault="00EF388B" w:rsidP="00555C57">
            <w:pPr>
              <w:spacing w:line="360" w:lineRule="auto"/>
              <w:jc w:val="center"/>
              <w:rPr>
                <w:rFonts w:ascii="Times New Roman" w:hAnsi="Times New Roman"/>
              </w:rPr>
            </w:pPr>
          </w:p>
        </w:tc>
        <w:tc>
          <w:tcPr>
            <w:tcW w:w="1309" w:type="pct"/>
          </w:tcPr>
          <w:p w:rsidR="00EF388B" w:rsidRPr="00374DC2" w:rsidRDefault="00EF388B" w:rsidP="00555C57">
            <w:pPr>
              <w:spacing w:line="360" w:lineRule="auto"/>
              <w:jc w:val="both"/>
              <w:rPr>
                <w:rFonts w:ascii="Times New Roman" w:hAnsi="Times New Roman"/>
              </w:rPr>
            </w:pPr>
          </w:p>
        </w:tc>
      </w:tr>
      <w:tr w:rsidR="00EF388B" w:rsidRPr="00374DC2" w:rsidTr="00262520">
        <w:trPr>
          <w:trHeight w:val="252"/>
        </w:trPr>
        <w:tc>
          <w:tcPr>
            <w:tcW w:w="2513" w:type="pct"/>
          </w:tcPr>
          <w:p w:rsidR="00EF388B" w:rsidRPr="00374DC2" w:rsidRDefault="00EF388B" w:rsidP="00555C57">
            <w:pPr>
              <w:spacing w:line="360" w:lineRule="auto"/>
              <w:jc w:val="both"/>
              <w:rPr>
                <w:rFonts w:ascii="Times New Roman" w:hAnsi="Times New Roman"/>
              </w:rPr>
            </w:pPr>
            <w:r w:rsidRPr="00374DC2">
              <w:rPr>
                <w:rFonts w:ascii="Times New Roman" w:hAnsi="Times New Roman"/>
              </w:rPr>
              <w:t>Komisijas sekretārs:</w:t>
            </w:r>
          </w:p>
        </w:tc>
        <w:tc>
          <w:tcPr>
            <w:tcW w:w="1178" w:type="pct"/>
            <w:vAlign w:val="center"/>
          </w:tcPr>
          <w:p w:rsidR="00EF388B" w:rsidRPr="00374DC2" w:rsidRDefault="00EF388B" w:rsidP="00555C57">
            <w:pPr>
              <w:spacing w:line="360" w:lineRule="auto"/>
              <w:jc w:val="center"/>
              <w:rPr>
                <w:rFonts w:ascii="Times New Roman" w:hAnsi="Times New Roman"/>
              </w:rPr>
            </w:pPr>
            <w:r w:rsidRPr="00EF388B">
              <w:rPr>
                <w:rFonts w:ascii="Times New Roman" w:hAnsi="Times New Roman"/>
                <w:i/>
              </w:rPr>
              <w:t>Paraksts</w:t>
            </w:r>
          </w:p>
        </w:tc>
        <w:tc>
          <w:tcPr>
            <w:tcW w:w="1309" w:type="pct"/>
          </w:tcPr>
          <w:p w:rsidR="00EF388B" w:rsidRPr="00374DC2" w:rsidRDefault="00EF388B" w:rsidP="00555C57">
            <w:pPr>
              <w:spacing w:line="360" w:lineRule="auto"/>
              <w:ind w:right="-166"/>
              <w:jc w:val="both"/>
              <w:rPr>
                <w:rFonts w:ascii="Times New Roman" w:hAnsi="Times New Roman"/>
              </w:rPr>
            </w:pPr>
            <w:r w:rsidRPr="00374DC2">
              <w:rPr>
                <w:rFonts w:ascii="Times New Roman" w:hAnsi="Times New Roman"/>
              </w:rPr>
              <w:t>/Anete</w:t>
            </w:r>
            <w:r>
              <w:rPr>
                <w:rFonts w:ascii="Times New Roman" w:hAnsi="Times New Roman"/>
              </w:rPr>
              <w:t xml:space="preserve"> </w:t>
            </w:r>
            <w:r w:rsidRPr="00374DC2">
              <w:rPr>
                <w:rFonts w:ascii="Times New Roman" w:hAnsi="Times New Roman"/>
              </w:rPr>
              <w:t>Andržejevska/</w:t>
            </w:r>
          </w:p>
        </w:tc>
      </w:tr>
    </w:tbl>
    <w:p w:rsidR="00EF388B" w:rsidRPr="00374DC2" w:rsidRDefault="00EF388B" w:rsidP="00EF388B">
      <w:pPr>
        <w:spacing w:line="360" w:lineRule="auto"/>
        <w:ind w:right="-1192"/>
        <w:rPr>
          <w:rFonts w:ascii="Times New Roman" w:hAnsi="Times New Roman"/>
        </w:rPr>
      </w:pPr>
    </w:p>
    <w:p w:rsidR="000168CE" w:rsidRDefault="000168CE"/>
    <w:sectPr w:rsidR="000168CE" w:rsidSect="006033D8">
      <w:foot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F88" w:rsidRDefault="00D36F88">
      <w:r>
        <w:separator/>
      </w:r>
    </w:p>
  </w:endnote>
  <w:endnote w:type="continuationSeparator" w:id="0">
    <w:p w:rsidR="00D36F88" w:rsidRDefault="00D3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967939"/>
      <w:docPartObj>
        <w:docPartGallery w:val="Page Numbers (Bottom of Page)"/>
        <w:docPartUnique/>
      </w:docPartObj>
    </w:sdtPr>
    <w:sdtEndPr>
      <w:rPr>
        <w:rFonts w:ascii="Times New Roman" w:hAnsi="Times New Roman"/>
        <w:noProof/>
      </w:rPr>
    </w:sdtEndPr>
    <w:sdtContent>
      <w:p w:rsidR="006033D8" w:rsidRPr="006033D8" w:rsidRDefault="00262520">
        <w:pPr>
          <w:pStyle w:val="Footer"/>
          <w:jc w:val="center"/>
          <w:rPr>
            <w:rFonts w:ascii="Times New Roman" w:hAnsi="Times New Roman"/>
          </w:rPr>
        </w:pPr>
        <w:r w:rsidRPr="006033D8">
          <w:rPr>
            <w:rFonts w:ascii="Times New Roman" w:hAnsi="Times New Roman"/>
          </w:rPr>
          <w:fldChar w:fldCharType="begin"/>
        </w:r>
        <w:r w:rsidRPr="006033D8">
          <w:rPr>
            <w:rFonts w:ascii="Times New Roman" w:hAnsi="Times New Roman"/>
          </w:rPr>
          <w:instrText xml:space="preserve"> PAGE   \* MERGEFORMAT </w:instrText>
        </w:r>
        <w:r w:rsidRPr="006033D8">
          <w:rPr>
            <w:rFonts w:ascii="Times New Roman" w:hAnsi="Times New Roman"/>
          </w:rPr>
          <w:fldChar w:fldCharType="separate"/>
        </w:r>
        <w:r w:rsidR="008F3EF1">
          <w:rPr>
            <w:rFonts w:ascii="Times New Roman" w:hAnsi="Times New Roman"/>
            <w:noProof/>
          </w:rPr>
          <w:t>2</w:t>
        </w:r>
        <w:r w:rsidRPr="006033D8">
          <w:rPr>
            <w:rFonts w:ascii="Times New Roman" w:hAnsi="Times New Roman"/>
            <w:noProof/>
          </w:rPr>
          <w:fldChar w:fldCharType="end"/>
        </w:r>
      </w:p>
    </w:sdtContent>
  </w:sdt>
  <w:p w:rsidR="006033D8" w:rsidRDefault="00D36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F88" w:rsidRDefault="00D36F88">
      <w:r>
        <w:separator/>
      </w:r>
    </w:p>
  </w:footnote>
  <w:footnote w:type="continuationSeparator" w:id="0">
    <w:p w:rsidR="00D36F88" w:rsidRDefault="00D36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F7157"/>
    <w:multiLevelType w:val="multilevel"/>
    <w:tmpl w:val="4664C35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2561C69"/>
    <w:multiLevelType w:val="multilevel"/>
    <w:tmpl w:val="4664C35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88B"/>
    <w:rsid w:val="000168CE"/>
    <w:rsid w:val="0021165A"/>
    <w:rsid w:val="00262520"/>
    <w:rsid w:val="008F3EF1"/>
    <w:rsid w:val="00972AA5"/>
    <w:rsid w:val="00D36F88"/>
    <w:rsid w:val="00EF3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88B"/>
    <w:pPr>
      <w:spacing w:after="0" w:line="240" w:lineRule="auto"/>
    </w:pPr>
    <w:rPr>
      <w:rFonts w:ascii="Cambria" w:eastAsia="Cambria" w:hAnsi="Cambria"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388B"/>
    <w:pPr>
      <w:tabs>
        <w:tab w:val="center" w:pos="4153"/>
        <w:tab w:val="right" w:pos="8306"/>
      </w:tabs>
    </w:pPr>
  </w:style>
  <w:style w:type="character" w:customStyle="1" w:styleId="FooterChar">
    <w:name w:val="Footer Char"/>
    <w:basedOn w:val="DefaultParagraphFont"/>
    <w:link w:val="Footer"/>
    <w:uiPriority w:val="99"/>
    <w:rsid w:val="00EF388B"/>
    <w:rPr>
      <w:rFonts w:ascii="Cambria" w:eastAsia="Cambria" w:hAnsi="Cambria" w:cs="Times New Roman"/>
      <w:sz w:val="24"/>
      <w:szCs w:val="24"/>
      <w:lang w:val="lv-LV"/>
    </w:rPr>
  </w:style>
  <w:style w:type="paragraph" w:styleId="ListParagraph">
    <w:name w:val="List Paragraph"/>
    <w:basedOn w:val="Normal"/>
    <w:uiPriority w:val="34"/>
    <w:qFormat/>
    <w:rsid w:val="00EF38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88B"/>
    <w:pPr>
      <w:spacing w:after="0" w:line="240" w:lineRule="auto"/>
    </w:pPr>
    <w:rPr>
      <w:rFonts w:ascii="Cambria" w:eastAsia="Cambria" w:hAnsi="Cambria"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388B"/>
    <w:pPr>
      <w:tabs>
        <w:tab w:val="center" w:pos="4153"/>
        <w:tab w:val="right" w:pos="8306"/>
      </w:tabs>
    </w:pPr>
  </w:style>
  <w:style w:type="character" w:customStyle="1" w:styleId="FooterChar">
    <w:name w:val="Footer Char"/>
    <w:basedOn w:val="DefaultParagraphFont"/>
    <w:link w:val="Footer"/>
    <w:uiPriority w:val="99"/>
    <w:rsid w:val="00EF388B"/>
    <w:rPr>
      <w:rFonts w:ascii="Cambria" w:eastAsia="Cambria" w:hAnsi="Cambria" w:cs="Times New Roman"/>
      <w:sz w:val="24"/>
      <w:szCs w:val="24"/>
      <w:lang w:val="lv-LV"/>
    </w:rPr>
  </w:style>
  <w:style w:type="paragraph" w:styleId="ListParagraph">
    <w:name w:val="List Paragraph"/>
    <w:basedOn w:val="Normal"/>
    <w:uiPriority w:val="34"/>
    <w:qFormat/>
    <w:rsid w:val="00EF3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1724</Words>
  <Characters>983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lenovouser</dc:creator>
  <cp:lastModifiedBy>User</cp:lastModifiedBy>
  <cp:revision>2</cp:revision>
  <dcterms:created xsi:type="dcterms:W3CDTF">2016-08-03T10:52:00Z</dcterms:created>
  <dcterms:modified xsi:type="dcterms:W3CDTF">2016-08-03T10:52:00Z</dcterms:modified>
</cp:coreProperties>
</file>