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0" w:rsidRPr="007C01D0" w:rsidRDefault="007C01D0" w:rsidP="007C01D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C01D0">
        <w:rPr>
          <w:rFonts w:ascii="Times New Roman" w:hAnsi="Times New Roman"/>
          <w:b/>
        </w:rPr>
        <w:t>LĒMUMS</w:t>
      </w:r>
    </w:p>
    <w:p w:rsidR="007C01D0" w:rsidRPr="007C01D0" w:rsidRDefault="007C01D0" w:rsidP="007C01D0">
      <w:pPr>
        <w:jc w:val="center"/>
        <w:rPr>
          <w:rFonts w:ascii="Times New Roman" w:hAnsi="Times New Roman"/>
        </w:rPr>
      </w:pPr>
      <w:r w:rsidRPr="007C01D0">
        <w:rPr>
          <w:rFonts w:ascii="Times New Roman" w:hAnsi="Times New Roman"/>
          <w:b/>
        </w:rPr>
        <w:t>p</w:t>
      </w:r>
      <w:r w:rsidRPr="007C01D0">
        <w:rPr>
          <w:rFonts w:ascii="Times New Roman" w:hAnsi="Times New Roman"/>
          <w:b/>
          <w:bCs/>
        </w:rPr>
        <w:t>ar rezultātiem</w:t>
      </w:r>
    </w:p>
    <w:p w:rsidR="007C01D0" w:rsidRPr="007C01D0" w:rsidRDefault="007C01D0" w:rsidP="007C01D0">
      <w:pPr>
        <w:jc w:val="center"/>
        <w:rPr>
          <w:rFonts w:ascii="Times New Roman" w:hAnsi="Times New Roman"/>
        </w:rPr>
      </w:pPr>
      <w:r w:rsidRPr="007C01D0">
        <w:rPr>
          <w:rFonts w:ascii="Times New Roman" w:hAnsi="Times New Roman"/>
        </w:rPr>
        <w:t>Publisko iepirkumu likuma 8.</w:t>
      </w:r>
      <w:r w:rsidRPr="007C01D0">
        <w:rPr>
          <w:rFonts w:ascii="Times New Roman" w:hAnsi="Times New Roman"/>
          <w:vertAlign w:val="superscript"/>
        </w:rPr>
        <w:t>2</w:t>
      </w:r>
      <w:r w:rsidRPr="007C01D0">
        <w:rPr>
          <w:rFonts w:ascii="Times New Roman" w:hAnsi="Times New Roman"/>
        </w:rPr>
        <w:t xml:space="preserve"> panta kārtībā veiktajā iepirkumā</w:t>
      </w:r>
    </w:p>
    <w:p w:rsidR="007C01D0" w:rsidRPr="007C01D0" w:rsidRDefault="007C01D0" w:rsidP="007C01D0">
      <w:pPr>
        <w:jc w:val="center"/>
        <w:rPr>
          <w:rFonts w:ascii="Times New Roman" w:hAnsi="Times New Roman"/>
          <w:b/>
        </w:rPr>
      </w:pPr>
      <w:r w:rsidRPr="007C01D0">
        <w:rPr>
          <w:rFonts w:ascii="Times New Roman" w:hAnsi="Times New Roman"/>
          <w:b/>
        </w:rPr>
        <w:t xml:space="preserve">“Poligrāfisko materiālu izgatavošana un piegāde </w:t>
      </w:r>
    </w:p>
    <w:p w:rsidR="007C01D0" w:rsidRPr="007C01D0" w:rsidRDefault="007C01D0" w:rsidP="007C01D0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7C01D0">
        <w:rPr>
          <w:rFonts w:ascii="Times New Roman" w:hAnsi="Times New Roman"/>
          <w:b/>
        </w:rPr>
        <w:t>Latvijas Universitātes vajadzībām”</w:t>
      </w:r>
    </w:p>
    <w:p w:rsidR="007C01D0" w:rsidRPr="007C01D0" w:rsidRDefault="007C01D0" w:rsidP="007C01D0">
      <w:pPr>
        <w:jc w:val="center"/>
        <w:rPr>
          <w:rFonts w:ascii="Times New Roman" w:hAnsi="Times New Roman"/>
          <w:b/>
        </w:rPr>
      </w:pPr>
      <w:r w:rsidRPr="007C01D0">
        <w:rPr>
          <w:rFonts w:ascii="Times New Roman" w:hAnsi="Times New Roman"/>
          <w:b/>
        </w:rPr>
        <w:t xml:space="preserve">Iepirkuma identifikācijas Nr.: LU </w:t>
      </w:r>
      <w:r w:rsidR="002E0FB3">
        <w:rPr>
          <w:rFonts w:ascii="Times New Roman" w:hAnsi="Times New Roman"/>
          <w:b/>
          <w:bCs/>
        </w:rPr>
        <w:t>2016/44_</w:t>
      </w:r>
      <w:r w:rsidRPr="007C01D0">
        <w:rPr>
          <w:rFonts w:ascii="Times New Roman" w:hAnsi="Times New Roman"/>
          <w:b/>
          <w:bCs/>
        </w:rPr>
        <w:t>I</w:t>
      </w:r>
    </w:p>
    <w:p w:rsidR="007C01D0" w:rsidRPr="007C01D0" w:rsidRDefault="007C01D0" w:rsidP="007C01D0">
      <w:pPr>
        <w:jc w:val="center"/>
        <w:rPr>
          <w:rFonts w:ascii="Times New Roman" w:hAnsi="Times New Roman"/>
          <w:b/>
          <w:bCs/>
        </w:rPr>
      </w:pPr>
    </w:p>
    <w:p w:rsidR="00D46CC7" w:rsidRPr="007C01D0" w:rsidRDefault="00D46CC7" w:rsidP="00D46CC7">
      <w:pPr>
        <w:jc w:val="both"/>
        <w:rPr>
          <w:rFonts w:ascii="Times New Roman" w:hAnsi="Times New Roman"/>
          <w:b/>
          <w:bCs/>
        </w:rPr>
      </w:pPr>
      <w:r w:rsidRPr="007C01D0">
        <w:rPr>
          <w:rFonts w:ascii="Times New Roman" w:hAnsi="Times New Roman"/>
          <w:b/>
          <w:bCs/>
        </w:rPr>
        <w:t xml:space="preserve">Rīgā, 2016. gada </w:t>
      </w:r>
      <w:r w:rsidRPr="006A6D3F">
        <w:rPr>
          <w:rFonts w:ascii="Times New Roman" w:hAnsi="Times New Roman"/>
          <w:b/>
          <w:bCs/>
        </w:rPr>
        <w:t>29. jūlijā</w:t>
      </w:r>
    </w:p>
    <w:p w:rsidR="00D46CC7" w:rsidRPr="007C01D0" w:rsidRDefault="00D46CC7" w:rsidP="00D46CC7">
      <w:pPr>
        <w:jc w:val="both"/>
        <w:rPr>
          <w:rFonts w:ascii="Times New Roman" w:hAnsi="Times New Roman"/>
          <w:b/>
          <w:bCs/>
        </w:rPr>
      </w:pPr>
    </w:p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lang w:eastAsia="lv-LV"/>
        </w:rPr>
        <w:t>Pasūtītājs</w:t>
      </w:r>
      <w:r w:rsidRPr="007C01D0">
        <w:rPr>
          <w:rFonts w:ascii="Times New Roman" w:eastAsia="Times New Roman" w:hAnsi="Times New Roman"/>
          <w:bCs/>
          <w:lang w:eastAsia="lv-LV"/>
        </w:rPr>
        <w:t xml:space="preserve">: </w:t>
      </w:r>
      <w:r w:rsidRPr="007C01D0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7C01D0">
        <w:rPr>
          <w:rFonts w:ascii="Times New Roman" w:hAnsi="Times New Roman"/>
        </w:rPr>
        <w:t>3341000218</w:t>
      </w:r>
      <w:r w:rsidRPr="007C01D0">
        <w:rPr>
          <w:rFonts w:ascii="Times New Roman" w:eastAsia="Times New Roman" w:hAnsi="Times New Roman"/>
          <w:lang w:eastAsia="lv-LV"/>
        </w:rPr>
        <w:t xml:space="preserve">, juridiskā adrese: </w:t>
      </w:r>
      <w:r w:rsidRPr="007C01D0">
        <w:rPr>
          <w:rFonts w:ascii="Times New Roman" w:eastAsia="Times New Roman" w:hAnsi="Times New Roman"/>
        </w:rPr>
        <w:t>Raiņa bulvāris 19, Rīga, LV-1586.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7C01D0">
        <w:rPr>
          <w:rFonts w:ascii="Times New Roman" w:hAnsi="Times New Roman"/>
        </w:rPr>
        <w:t xml:space="preserve">ar Latvijas Universitātes 2016. gada 22. februāra rīkojumu Nr. 1/86 “Par Latvijas Universitātes iepirkumu komisiju sastāviem” izveidota Latvijas Universitātes Centralizēto iepirkumu komisija komisija (turpmāk – </w:t>
      </w:r>
      <w:r w:rsidRPr="007C01D0">
        <w:rPr>
          <w:rFonts w:ascii="Times New Roman" w:hAnsi="Times New Roman"/>
          <w:b/>
        </w:rPr>
        <w:t>Komisija</w:t>
      </w:r>
      <w:r w:rsidRPr="007C01D0">
        <w:rPr>
          <w:rFonts w:ascii="Times New Roman" w:hAnsi="Times New Roman"/>
        </w:rPr>
        <w:t>).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Iepirkuma priekšmets:  </w:t>
      </w:r>
      <w:r w:rsidRPr="007C01D0">
        <w:rPr>
          <w:rFonts w:ascii="Times New Roman" w:hAnsi="Times New Roman"/>
          <w:bCs/>
        </w:rPr>
        <w:t xml:space="preserve">poligrāfisko materiālu (brošūras, grāmatas cietos vākos) </w:t>
      </w:r>
      <w:r w:rsidRPr="007C01D0">
        <w:rPr>
          <w:rFonts w:ascii="Times New Roman" w:hAnsi="Times New Roman"/>
        </w:rPr>
        <w:t xml:space="preserve"> izgatavošana un piegāde saskaņā ar nolikuma (turpmāk- </w:t>
      </w:r>
      <w:r w:rsidRPr="007C01D0">
        <w:rPr>
          <w:rFonts w:ascii="Times New Roman" w:hAnsi="Times New Roman"/>
          <w:b/>
        </w:rPr>
        <w:t>Nolikums</w:t>
      </w:r>
      <w:r w:rsidRPr="007C01D0">
        <w:rPr>
          <w:rFonts w:ascii="Times New Roman" w:hAnsi="Times New Roman"/>
        </w:rPr>
        <w:t xml:space="preserve">) un tehniskās specifikācijas (turpmāk – </w:t>
      </w:r>
      <w:r w:rsidRPr="007C01D0">
        <w:rPr>
          <w:rFonts w:ascii="Times New Roman" w:hAnsi="Times New Roman"/>
          <w:b/>
        </w:rPr>
        <w:t>Tehniskā specifikācija</w:t>
      </w:r>
      <w:r w:rsidRPr="007C01D0">
        <w:rPr>
          <w:rFonts w:ascii="Times New Roman" w:hAnsi="Times New Roman"/>
        </w:rPr>
        <w:t>), kas ir pievienota šī Nolikuma 2.pielikumā, prasībām.</w:t>
      </w:r>
      <w:r w:rsidRPr="007C01D0">
        <w:rPr>
          <w:rFonts w:ascii="Times New Roman" w:hAnsi="Times New Roman"/>
          <w:b/>
        </w:rPr>
        <w:t xml:space="preserve"> 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Pr="007C01D0">
        <w:rPr>
          <w:rFonts w:ascii="Times New Roman" w:hAnsi="Times New Roman"/>
        </w:rPr>
        <w:t>22100000-1 (Grāmatas, brošūras un atgādnes).</w:t>
      </w:r>
    </w:p>
    <w:p w:rsidR="00D46CC7" w:rsidRPr="006210E3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7C01D0">
        <w:rPr>
          <w:rFonts w:ascii="Times New Roman" w:eastAsia="Times New Roman" w:hAnsi="Times New Roman"/>
          <w:bCs/>
          <w:lang w:eastAsia="lv-LV"/>
        </w:rPr>
        <w:t xml:space="preserve"> </w:t>
      </w:r>
      <w:r w:rsidRPr="007C01D0">
        <w:rPr>
          <w:rFonts w:ascii="Times New Roman" w:hAnsi="Times New Roman"/>
        </w:rPr>
        <w:t>Iepirkuma</w:t>
      </w:r>
      <w:r w:rsidRPr="007C01D0">
        <w:rPr>
          <w:rFonts w:ascii="Times New Roman" w:hAnsi="Times New Roman"/>
          <w:b/>
        </w:rPr>
        <w:t xml:space="preserve"> </w:t>
      </w:r>
      <w:r w:rsidRPr="007C01D0">
        <w:rPr>
          <w:rFonts w:ascii="Times New Roman" w:hAnsi="Times New Roman"/>
        </w:rPr>
        <w:t>Nolikuma</w:t>
      </w:r>
      <w:r w:rsidRPr="007C01D0">
        <w:rPr>
          <w:rFonts w:ascii="Times New Roman" w:hAnsi="Times New Roman"/>
          <w:b/>
        </w:rPr>
        <w:t xml:space="preserve"> </w:t>
      </w:r>
      <w:r w:rsidRPr="007C01D0">
        <w:rPr>
          <w:rFonts w:ascii="Times New Roman" w:hAnsi="Times New Roman"/>
        </w:rPr>
        <w:t>prasībām</w:t>
      </w:r>
      <w:r w:rsidRPr="007C01D0">
        <w:rPr>
          <w:rFonts w:ascii="Times New Roman" w:hAnsi="Times New Roman"/>
          <w:b/>
        </w:rPr>
        <w:t xml:space="preserve"> </w:t>
      </w:r>
      <w:r w:rsidRPr="007C01D0">
        <w:rPr>
          <w:rFonts w:ascii="Times New Roman" w:hAnsi="Times New Roman"/>
        </w:rPr>
        <w:t xml:space="preserve">atbilstošs saimnieciski izdevīgākais piedāvājums. </w:t>
      </w:r>
    </w:p>
    <w:p w:rsidR="00D46CC7" w:rsidRPr="001E6AEB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E6AEB">
        <w:rPr>
          <w:rFonts w:ascii="Times New Roman" w:hAnsi="Times New Roman"/>
          <w:b/>
        </w:rPr>
        <w:t>Piedāvājumu vērtēšanas kritēriji nosakot saimnieciski visizdevīgāko piedāvājumu:</w:t>
      </w:r>
      <w:r w:rsidRPr="001E6AEB">
        <w:rPr>
          <w:rFonts w:ascii="Times New Roman" w:hAnsi="Times New Roman"/>
          <w:bCs/>
        </w:rPr>
        <w:t xml:space="preserve"> </w:t>
      </w:r>
    </w:p>
    <w:p w:rsidR="00D46CC7" w:rsidRPr="00F847DA" w:rsidRDefault="00D46CC7" w:rsidP="00D46CC7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Komisija</w:t>
      </w:r>
      <w:r w:rsidRPr="00F847DA">
        <w:rPr>
          <w:rFonts w:ascii="Times New Roman" w:hAnsi="Times New Roman"/>
          <w:bCs/>
        </w:rPr>
        <w:t xml:space="preserve"> veic Pretendentu Piedāvājumu vērtēšanu</w:t>
      </w:r>
      <w:r>
        <w:rPr>
          <w:rFonts w:ascii="Times New Roman" w:hAnsi="Times New Roman"/>
          <w:bCs/>
        </w:rPr>
        <w:t xml:space="preserve"> </w:t>
      </w:r>
      <w:r w:rsidRPr="00F847DA">
        <w:rPr>
          <w:rFonts w:ascii="Times New Roman" w:hAnsi="Times New Roman"/>
          <w:bCs/>
        </w:rPr>
        <w:t>atbilstoši šādiem vērtēšanas kritērijiem</w:t>
      </w:r>
      <w:r w:rsidRPr="00F847DA">
        <w:rPr>
          <w:rFonts w:ascii="Times New Roman" w:hAnsi="Times New Roman"/>
        </w:rPr>
        <w:t>:</w:t>
      </w:r>
      <w:r w:rsidRPr="00F847DA">
        <w:rPr>
          <w:rFonts w:ascii="Times New Roman" w:hAnsi="Times New Roman"/>
          <w:b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2259"/>
        <w:gridCol w:w="895"/>
        <w:gridCol w:w="1798"/>
        <w:gridCol w:w="3544"/>
      </w:tblGrid>
      <w:tr w:rsidR="00D46CC7" w:rsidRPr="003C50A2" w:rsidTr="00555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Nr.</w:t>
            </w:r>
          </w:p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Vērtēšanas kritēriji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Punkti (P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sk</w:t>
            </w:r>
            <w:r w:rsidRPr="003C50A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Novērtēšanas kārtība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b/>
              </w:rPr>
              <w:t>Punktu piešķiršanas kārtība</w:t>
            </w:r>
          </w:p>
        </w:tc>
      </w:tr>
      <w:tr w:rsidR="00D46CC7" w:rsidRPr="003C50A2" w:rsidTr="00555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Cs/>
              </w:rPr>
            </w:pPr>
            <w:r w:rsidRPr="003C50A2">
              <w:rPr>
                <w:rFonts w:ascii="Times New Roman" w:hAnsi="Times New Roman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Default="00D46CC7" w:rsidP="00555C57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87265A">
              <w:rPr>
                <w:rFonts w:ascii="Times New Roman" w:hAnsi="Times New Roman"/>
                <w:bCs/>
              </w:rPr>
              <w:t>Kopējā cena par norādīto tirāžu</w:t>
            </w:r>
            <w:r w:rsidRPr="0087265A">
              <w:rPr>
                <w:rFonts w:ascii="Times New Roman" w:hAnsi="Times New Roman"/>
              </w:rPr>
              <w:t xml:space="preserve"> (EUR bez PVN) par visām Preču pozīcijām</w:t>
            </w:r>
            <w:r w:rsidRPr="0087265A">
              <w:rPr>
                <w:rFonts w:ascii="Times New Roman" w:hAnsi="Times New Roman"/>
                <w:bCs/>
              </w:rPr>
              <w:t xml:space="preserve">  </w:t>
            </w:r>
            <w:r w:rsidRPr="0087265A">
              <w:rPr>
                <w:rFonts w:ascii="Times New Roman" w:hAnsi="Times New Roman"/>
                <w:b/>
                <w:bCs/>
              </w:rPr>
              <w:t>(C)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50A2">
              <w:rPr>
                <w:rFonts w:ascii="Times New Roman" w:hAnsi="Times New Roman"/>
                <w:sz w:val="21"/>
                <w:szCs w:val="21"/>
              </w:rPr>
              <w:t>Novērtēšanai tiek izmantota Pretendenta norādītā informācija saskaņā ar  Nolikuma 3.pielikumu</w:t>
            </w:r>
          </w:p>
          <w:p w:rsidR="00D46CC7" w:rsidRPr="003C50A2" w:rsidRDefault="00D46CC7" w:rsidP="00555C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C7" w:rsidRDefault="00D46CC7" w:rsidP="00555C57">
            <w:pPr>
              <w:pStyle w:val="BodyTextIndent3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Piedāvājumiem punkti tiek aprēķināti pēc formulas:</w:t>
            </w:r>
          </w:p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3C50A2">
              <w:rPr>
                <w:rFonts w:ascii="Times New Roman" w:hAnsi="Times New Roman"/>
                <w:b/>
                <w:bCs/>
              </w:rPr>
              <w:t>C</w:t>
            </w:r>
            <w:r w:rsidRPr="003C50A2">
              <w:rPr>
                <w:rFonts w:ascii="Times New Roman" w:hAnsi="Times New Roman"/>
              </w:rPr>
              <w:t xml:space="preserve">=(C </w:t>
            </w:r>
            <w:r w:rsidRPr="003C50A2">
              <w:rPr>
                <w:rFonts w:ascii="Times New Roman" w:hAnsi="Times New Roman"/>
                <w:vertAlign w:val="subscript"/>
              </w:rPr>
              <w:t>min</w:t>
            </w:r>
            <w:r w:rsidRPr="003C50A2">
              <w:rPr>
                <w:rFonts w:ascii="Times New Roman" w:hAnsi="Times New Roman"/>
              </w:rPr>
              <w:t xml:space="preserve">/C </w:t>
            </w:r>
            <w:r w:rsidRPr="003C50A2">
              <w:rPr>
                <w:rFonts w:ascii="Times New Roman" w:hAnsi="Times New Roman"/>
                <w:vertAlign w:val="subscript"/>
              </w:rPr>
              <w:t>pied</w:t>
            </w:r>
            <w:r w:rsidRPr="003C50A2">
              <w:rPr>
                <w:rFonts w:ascii="Times New Roman" w:hAnsi="Times New Roman"/>
              </w:rPr>
              <w:t xml:space="preserve">)*P </w:t>
            </w:r>
            <w:r w:rsidRPr="003C50A2">
              <w:rPr>
                <w:rFonts w:ascii="Times New Roman" w:hAnsi="Times New Roman"/>
                <w:vertAlign w:val="subscript"/>
              </w:rPr>
              <w:t>sk</w:t>
            </w:r>
          </w:p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</w:p>
          <w:p w:rsidR="00D46CC7" w:rsidRPr="003C50A2" w:rsidRDefault="00D46CC7" w:rsidP="00555C57">
            <w:pPr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b/>
              </w:rPr>
              <w:t>C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min</w:t>
            </w:r>
            <w:r w:rsidRPr="003C50A2">
              <w:rPr>
                <w:rFonts w:ascii="Times New Roman" w:hAnsi="Times New Roman"/>
              </w:rPr>
              <w:t>- iepirkumā piedāvātā zemākā cena;</w:t>
            </w:r>
          </w:p>
          <w:p w:rsidR="00D46CC7" w:rsidRPr="003C50A2" w:rsidRDefault="00D46CC7" w:rsidP="00555C57">
            <w:pPr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b/>
              </w:rPr>
              <w:t>C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pied</w:t>
            </w:r>
            <w:r w:rsidRPr="003C50A2">
              <w:rPr>
                <w:rFonts w:ascii="Times New Roman" w:hAnsi="Times New Roman"/>
              </w:rPr>
              <w:t>- Pretendenta piedāvātā cena.</w:t>
            </w:r>
          </w:p>
        </w:tc>
      </w:tr>
      <w:tr w:rsidR="00D46CC7" w:rsidRPr="003C50A2" w:rsidTr="00555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Default="00D46CC7" w:rsidP="00555C57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87265A">
              <w:rPr>
                <w:rFonts w:ascii="Times New Roman" w:hAnsi="Times New Roman"/>
              </w:rPr>
              <w:t xml:space="preserve">Kopējais Preču </w:t>
            </w:r>
            <w:r>
              <w:rPr>
                <w:rFonts w:ascii="Times New Roman" w:hAnsi="Times New Roman"/>
              </w:rPr>
              <w:t xml:space="preserve">izgatavošanas un </w:t>
            </w:r>
            <w:r w:rsidRPr="0087265A">
              <w:rPr>
                <w:rFonts w:ascii="Times New Roman" w:hAnsi="Times New Roman"/>
              </w:rPr>
              <w:t>piegādes termiņš par visām Preču pozīcijām pēc paraugnovilkuma apstiprināšanas</w:t>
            </w:r>
            <w:r w:rsidDel="000C37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(darba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dienu skaits saskaņā ar tehnoloģisko procesu nodrošināšanu)</w:t>
            </w:r>
          </w:p>
          <w:p w:rsidR="00D46CC7" w:rsidRDefault="00D46CC7" w:rsidP="00555C57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(T)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C7" w:rsidRPr="003C50A2" w:rsidRDefault="00D46CC7" w:rsidP="00555C57">
            <w:pPr>
              <w:snapToGrid w:val="0"/>
              <w:jc w:val="center"/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sz w:val="21"/>
                <w:szCs w:val="21"/>
              </w:rPr>
              <w:t>Novērtēšanai tiek izmantota Pretendenta norādītā informācija saskaņā ar  Nolikuma 3.pielikumu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C7" w:rsidRDefault="00D46CC7" w:rsidP="00555C57">
            <w:pPr>
              <w:pStyle w:val="BodyTextIndent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Piedāvājumiem punkti tiek aprēķināti pēc formulas:</w:t>
            </w:r>
          </w:p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3C50A2">
              <w:rPr>
                <w:rFonts w:ascii="Times New Roman" w:hAnsi="Times New Roman"/>
              </w:rPr>
              <w:t xml:space="preserve"> </w:t>
            </w:r>
            <w:r w:rsidRPr="003C50A2">
              <w:rPr>
                <w:rFonts w:ascii="Times New Roman" w:hAnsi="Times New Roman"/>
                <w:b/>
                <w:bCs/>
              </w:rPr>
              <w:t>T=</w:t>
            </w:r>
            <w:r w:rsidRPr="003C50A2">
              <w:rPr>
                <w:rFonts w:ascii="Times New Roman" w:hAnsi="Times New Roman"/>
              </w:rPr>
              <w:t xml:space="preserve">(T </w:t>
            </w:r>
            <w:r w:rsidRPr="003C50A2">
              <w:rPr>
                <w:rFonts w:ascii="Times New Roman" w:hAnsi="Times New Roman"/>
                <w:vertAlign w:val="subscript"/>
              </w:rPr>
              <w:t>min</w:t>
            </w:r>
            <w:r w:rsidRPr="003C50A2">
              <w:rPr>
                <w:rFonts w:ascii="Times New Roman" w:hAnsi="Times New Roman"/>
              </w:rPr>
              <w:t xml:space="preserve">/T </w:t>
            </w:r>
            <w:r w:rsidRPr="003C50A2">
              <w:rPr>
                <w:rFonts w:ascii="Times New Roman" w:hAnsi="Times New Roman"/>
                <w:vertAlign w:val="subscript"/>
              </w:rPr>
              <w:t>pied</w:t>
            </w:r>
            <w:r w:rsidRPr="003C50A2">
              <w:rPr>
                <w:rFonts w:ascii="Times New Roman" w:hAnsi="Times New Roman"/>
              </w:rPr>
              <w:t xml:space="preserve">)*P </w:t>
            </w:r>
            <w:r w:rsidRPr="003C50A2">
              <w:rPr>
                <w:rFonts w:ascii="Times New Roman" w:hAnsi="Times New Roman"/>
                <w:vertAlign w:val="subscript"/>
              </w:rPr>
              <w:t>sk</w:t>
            </w:r>
          </w:p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</w:p>
          <w:p w:rsidR="00D46CC7" w:rsidRPr="003C50A2" w:rsidRDefault="00D46CC7" w:rsidP="00555C57">
            <w:pPr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b/>
              </w:rPr>
              <w:t>T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min</w:t>
            </w:r>
            <w:r w:rsidRPr="003C50A2">
              <w:rPr>
                <w:rFonts w:ascii="Times New Roman" w:hAnsi="Times New Roman"/>
              </w:rPr>
              <w:t xml:space="preserve">- iepirkumā piedāvātais īsākais Preču </w:t>
            </w:r>
            <w:r>
              <w:rPr>
                <w:rFonts w:ascii="Times New Roman" w:hAnsi="Times New Roman"/>
              </w:rPr>
              <w:t xml:space="preserve">izgatavošanas un </w:t>
            </w:r>
            <w:r w:rsidRPr="003C50A2">
              <w:rPr>
                <w:rFonts w:ascii="Times New Roman" w:hAnsi="Times New Roman"/>
              </w:rPr>
              <w:t>piegādes termiņš;</w:t>
            </w:r>
          </w:p>
          <w:p w:rsidR="00D46CC7" w:rsidRPr="003C50A2" w:rsidRDefault="00D46CC7" w:rsidP="00555C57">
            <w:pPr>
              <w:rPr>
                <w:rFonts w:ascii="Times New Roman" w:hAnsi="Times New Roman"/>
              </w:rPr>
            </w:pPr>
            <w:r w:rsidRPr="003C50A2">
              <w:rPr>
                <w:rFonts w:ascii="Times New Roman" w:hAnsi="Times New Roman"/>
                <w:b/>
              </w:rPr>
              <w:t>C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pied</w:t>
            </w:r>
            <w:r w:rsidRPr="003C50A2">
              <w:rPr>
                <w:rFonts w:ascii="Times New Roman" w:hAnsi="Times New Roman"/>
              </w:rPr>
              <w:t xml:space="preserve">- Pretendenta piedāvātais Preču </w:t>
            </w:r>
            <w:r>
              <w:rPr>
                <w:rFonts w:ascii="Times New Roman" w:hAnsi="Times New Roman"/>
              </w:rPr>
              <w:t xml:space="preserve">izgatavošanas un </w:t>
            </w:r>
            <w:r w:rsidRPr="003C50A2">
              <w:rPr>
                <w:rFonts w:ascii="Times New Roman" w:hAnsi="Times New Roman"/>
              </w:rPr>
              <w:t>piegādes termiņš.</w:t>
            </w:r>
          </w:p>
        </w:tc>
      </w:tr>
      <w:tr w:rsidR="00D46CC7" w:rsidRPr="003C50A2" w:rsidTr="00555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C50A2">
              <w:rPr>
                <w:rFonts w:ascii="Times New Roman" w:hAnsi="Times New Roman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E257E4" w:rsidRDefault="00D46CC7" w:rsidP="00555C57">
            <w:pPr>
              <w:pStyle w:val="BodyTextIndent2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</w:rPr>
              <w:t xml:space="preserve">Atliktā maksājuma </w:t>
            </w:r>
            <w:r w:rsidRPr="00E257E4">
              <w:rPr>
                <w:rFonts w:ascii="Times New Roman" w:hAnsi="Times New Roman"/>
              </w:rPr>
              <w:lastRenderedPageBreak/>
              <w:t xml:space="preserve">iespēja </w:t>
            </w:r>
            <w:r w:rsidRPr="00E257E4">
              <w:rPr>
                <w:rFonts w:ascii="Times New Roman" w:hAnsi="Times New Roman"/>
                <w:sz w:val="21"/>
                <w:szCs w:val="21"/>
              </w:rPr>
              <w:t xml:space="preserve">(dienu skaits) </w:t>
            </w:r>
            <w:r w:rsidRPr="00E257E4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E257E4" w:rsidRDefault="00D46CC7" w:rsidP="00555C57">
            <w:pPr>
              <w:jc w:val="center"/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C7" w:rsidRPr="00E257E4" w:rsidRDefault="00D46CC7" w:rsidP="00555C57">
            <w:pPr>
              <w:snapToGrid w:val="0"/>
              <w:jc w:val="center"/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  <w:sz w:val="21"/>
                <w:szCs w:val="21"/>
              </w:rPr>
              <w:t xml:space="preserve">Novērtēšanai tiek </w:t>
            </w:r>
            <w:r w:rsidRPr="00E257E4">
              <w:rPr>
                <w:rFonts w:ascii="Times New Roman" w:hAnsi="Times New Roman"/>
                <w:sz w:val="21"/>
                <w:szCs w:val="21"/>
              </w:rPr>
              <w:lastRenderedPageBreak/>
              <w:t>izmantota Pretendenta norādītā informācija par Nolikuma  3.1.apakšunkta prasību izpildi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C7" w:rsidRPr="00E257E4" w:rsidRDefault="00D46CC7" w:rsidP="00555C57">
            <w:pPr>
              <w:pStyle w:val="BodyTextIndent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Piedāvājumiem punkti tiek aprēķināti </w:t>
            </w:r>
            <w:r w:rsidRPr="00E257E4">
              <w:rPr>
                <w:rFonts w:ascii="Times New Roman" w:hAnsi="Times New Roman"/>
                <w:sz w:val="21"/>
                <w:szCs w:val="21"/>
              </w:rPr>
              <w:lastRenderedPageBreak/>
              <w:t>pēc formulas:</w:t>
            </w:r>
          </w:p>
          <w:p w:rsidR="00D46CC7" w:rsidRPr="00E257E4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E257E4">
              <w:rPr>
                <w:rFonts w:ascii="Times New Roman" w:hAnsi="Times New Roman"/>
              </w:rPr>
              <w:t xml:space="preserve"> </w:t>
            </w:r>
            <w:r w:rsidRPr="00E257E4">
              <w:rPr>
                <w:rFonts w:ascii="Times New Roman" w:hAnsi="Times New Roman"/>
                <w:b/>
                <w:bCs/>
              </w:rPr>
              <w:t>A=</w:t>
            </w:r>
            <w:r w:rsidRPr="00E257E4">
              <w:rPr>
                <w:rFonts w:ascii="Times New Roman" w:hAnsi="Times New Roman"/>
              </w:rPr>
              <w:t xml:space="preserve">(A </w:t>
            </w:r>
            <w:r w:rsidRPr="00E257E4">
              <w:rPr>
                <w:rFonts w:ascii="Times New Roman" w:hAnsi="Times New Roman"/>
                <w:vertAlign w:val="subscript"/>
              </w:rPr>
              <w:t>pied</w:t>
            </w:r>
            <w:r w:rsidRPr="00E257E4">
              <w:rPr>
                <w:rFonts w:ascii="Times New Roman" w:hAnsi="Times New Roman"/>
              </w:rPr>
              <w:t xml:space="preserve">/A </w:t>
            </w:r>
            <w:r w:rsidRPr="00E257E4">
              <w:rPr>
                <w:rFonts w:ascii="Times New Roman" w:hAnsi="Times New Roman"/>
                <w:vertAlign w:val="subscript"/>
              </w:rPr>
              <w:t>max</w:t>
            </w:r>
            <w:r w:rsidRPr="00E257E4">
              <w:rPr>
                <w:rFonts w:ascii="Times New Roman" w:hAnsi="Times New Roman"/>
              </w:rPr>
              <w:t xml:space="preserve">)*P </w:t>
            </w:r>
            <w:r w:rsidRPr="00E257E4">
              <w:rPr>
                <w:rFonts w:ascii="Times New Roman" w:hAnsi="Times New Roman"/>
                <w:vertAlign w:val="subscript"/>
              </w:rPr>
              <w:t>sk</w:t>
            </w:r>
          </w:p>
          <w:p w:rsidR="00D46CC7" w:rsidRPr="00E257E4" w:rsidRDefault="00D46CC7" w:rsidP="00555C57">
            <w:pPr>
              <w:jc w:val="center"/>
              <w:rPr>
                <w:rFonts w:ascii="Times New Roman" w:hAnsi="Times New Roman"/>
                <w:vertAlign w:val="subscript"/>
              </w:rPr>
            </w:pPr>
          </w:p>
          <w:p w:rsidR="00D46CC7" w:rsidRPr="00E257E4" w:rsidRDefault="00D46CC7" w:rsidP="00555C57">
            <w:pPr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  <w:b/>
              </w:rPr>
              <w:t>A</w:t>
            </w:r>
            <w:r w:rsidRPr="00E257E4">
              <w:rPr>
                <w:rFonts w:ascii="Times New Roman" w:hAnsi="Times New Roman"/>
                <w:b/>
                <w:vertAlign w:val="subscript"/>
              </w:rPr>
              <w:t>max</w:t>
            </w:r>
            <w:r w:rsidRPr="00E257E4">
              <w:rPr>
                <w:rFonts w:ascii="Times New Roman" w:hAnsi="Times New Roman"/>
              </w:rPr>
              <w:t>- iepirkumā piedāvātā ilgākā atliktā maksājuma termiņš;</w:t>
            </w:r>
          </w:p>
          <w:p w:rsidR="00D46CC7" w:rsidRPr="00E257E4" w:rsidRDefault="00D46CC7" w:rsidP="00555C57">
            <w:pPr>
              <w:rPr>
                <w:rFonts w:ascii="Times New Roman" w:hAnsi="Times New Roman"/>
              </w:rPr>
            </w:pPr>
            <w:r w:rsidRPr="00E257E4">
              <w:rPr>
                <w:rFonts w:ascii="Times New Roman" w:hAnsi="Times New Roman"/>
                <w:b/>
              </w:rPr>
              <w:t>A</w:t>
            </w:r>
            <w:r w:rsidRPr="00E257E4">
              <w:rPr>
                <w:rFonts w:ascii="Times New Roman" w:hAnsi="Times New Roman"/>
                <w:b/>
                <w:vertAlign w:val="subscript"/>
              </w:rPr>
              <w:t>pied</w:t>
            </w:r>
            <w:r w:rsidRPr="00E257E4">
              <w:rPr>
                <w:rFonts w:ascii="Times New Roman" w:hAnsi="Times New Roman"/>
              </w:rPr>
              <w:t>- Pretendenta piedāvātā atliktā maksājuma termiņš.</w:t>
            </w:r>
          </w:p>
        </w:tc>
      </w:tr>
      <w:tr w:rsidR="00D46CC7" w:rsidRPr="003C50A2" w:rsidTr="00555C57">
        <w:trPr>
          <w:trHeight w:val="4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right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  <w:i/>
              </w:rPr>
              <w:lastRenderedPageBreak/>
              <w:t xml:space="preserve">Maksimāli iespējamais punktu skaits </w:t>
            </w:r>
            <w:r w:rsidRPr="003C50A2">
              <w:rPr>
                <w:rFonts w:ascii="Times New Roman" w:hAnsi="Times New Roman"/>
                <w:b/>
              </w:rPr>
              <w:t>(P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kop</w:t>
            </w:r>
            <w:r w:rsidRPr="003C50A2">
              <w:rPr>
                <w:rFonts w:ascii="Times New Roman" w:hAnsi="Times New Roman"/>
                <w:b/>
              </w:rPr>
              <w:t>)</w:t>
            </w:r>
            <w:r w:rsidRPr="003C50A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  <w:rPr>
                <w:rFonts w:ascii="Times New Roman" w:hAnsi="Times New Roman"/>
                <w:b/>
              </w:rPr>
            </w:pPr>
            <w:r w:rsidRPr="003C50A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C7" w:rsidRPr="003C50A2" w:rsidRDefault="00D46CC7" w:rsidP="00555C57">
            <w:pPr>
              <w:jc w:val="center"/>
            </w:pPr>
            <w:r w:rsidRPr="003C50A2">
              <w:rPr>
                <w:rFonts w:ascii="Times New Roman" w:hAnsi="Times New Roman"/>
                <w:b/>
              </w:rPr>
              <w:t>P</w:t>
            </w:r>
            <w:r w:rsidRPr="003C50A2">
              <w:rPr>
                <w:rFonts w:ascii="Times New Roman" w:hAnsi="Times New Roman"/>
                <w:b/>
                <w:vertAlign w:val="subscript"/>
              </w:rPr>
              <w:t>kop</w:t>
            </w:r>
            <w:r w:rsidRPr="003C50A2">
              <w:rPr>
                <w:rFonts w:ascii="Times New Roman" w:hAnsi="Times New Roman"/>
                <w:b/>
              </w:rPr>
              <w:t>=</w:t>
            </w:r>
            <w:r w:rsidRPr="003C50A2">
              <w:rPr>
                <w:rFonts w:ascii="Times New Roman" w:hAnsi="Times New Roman"/>
                <w:b/>
                <w:bCs/>
              </w:rPr>
              <w:t xml:space="preserve"> </w:t>
            </w:r>
            <w:r w:rsidRPr="003C50A2">
              <w:rPr>
                <w:rFonts w:ascii="Times New Roman" w:hAnsi="Times New Roman"/>
                <w:bCs/>
              </w:rPr>
              <w:t>C+T+K+A</w:t>
            </w:r>
          </w:p>
        </w:tc>
      </w:tr>
    </w:tbl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7C01D0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7C01D0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8" w:history="1">
        <w:r w:rsidRPr="007C01D0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7C01D0">
        <w:rPr>
          <w:rFonts w:ascii="Times New Roman" w:eastAsia="Times New Roman" w:hAnsi="Times New Roman"/>
          <w:bCs/>
          <w:lang w:eastAsia="lv-LV"/>
        </w:rPr>
        <w:t>2016. gada 29. jūnijā.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>Pretendenti, kuri līdz 2016.gada 11.jūlijam, plkst.11:00 iesniedza piedāvājumus:</w:t>
      </w:r>
    </w:p>
    <w:tbl>
      <w:tblPr>
        <w:tblW w:w="6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738"/>
        <w:gridCol w:w="1906"/>
      </w:tblGrid>
      <w:tr w:rsidR="00D46CC7" w:rsidRPr="007C01D0" w:rsidTr="00555C57">
        <w:trPr>
          <w:trHeight w:val="3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01D0">
              <w:rPr>
                <w:b/>
                <w:sz w:val="22"/>
                <w:szCs w:val="22"/>
              </w:rPr>
              <w:t>Pretendenti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01D0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D46CC7" w:rsidRPr="007C01D0" w:rsidTr="00555C57">
        <w:trPr>
          <w:trHeight w:val="100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Sabiedrība ar ierobežotu atbildību “Latgales druka”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</w:rPr>
              <w:t>07.07.2016. plkst. 9:40</w:t>
            </w:r>
          </w:p>
        </w:tc>
      </w:tr>
      <w:tr w:rsidR="00D46CC7" w:rsidRPr="007C01D0" w:rsidTr="00555C57">
        <w:trPr>
          <w:trHeight w:val="9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SIA “TALSU TIPOGRĀFIJA”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</w:rPr>
              <w:t>08.07.2016. plkst.10:15</w:t>
            </w:r>
          </w:p>
        </w:tc>
      </w:tr>
      <w:tr w:rsidR="00D46CC7" w:rsidRPr="007C01D0" w:rsidTr="00555C57">
        <w:trPr>
          <w:trHeight w:val="83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SIA “JELGAVAS TIPOGRĀFIJA”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</w:rPr>
              <w:t>11.07.2016. plkst. 10:00</w:t>
            </w:r>
          </w:p>
        </w:tc>
      </w:tr>
    </w:tbl>
    <w:p w:rsidR="00D46CC7" w:rsidRPr="007C01D0" w:rsidRDefault="00D46CC7" w:rsidP="00D46C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924"/>
        <w:gridCol w:w="2316"/>
      </w:tblGrid>
      <w:tr w:rsidR="00D46CC7" w:rsidRPr="007C01D0" w:rsidTr="00555C57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01D0">
              <w:rPr>
                <w:b/>
                <w:sz w:val="22"/>
                <w:szCs w:val="22"/>
              </w:rPr>
              <w:t xml:space="preserve">Pretendenti 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01D0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D46CC7" w:rsidRPr="007C01D0" w:rsidTr="00555C57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Sabiedrība ar ierobežotu atbildību “Latgales druka”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  <w:tr w:rsidR="00D46CC7" w:rsidRPr="007C01D0" w:rsidTr="00555C57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SIA “TALSU TIPOGRĀFIJA”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  <w:tr w:rsidR="00D46CC7" w:rsidRPr="007C01D0" w:rsidTr="00555C57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rPr>
                <w:rFonts w:ascii="Times New Roman" w:hAnsi="Times New Roman"/>
              </w:rPr>
            </w:pPr>
            <w:r w:rsidRPr="007C01D0">
              <w:rPr>
                <w:rFonts w:ascii="Times New Roman" w:hAnsi="Times New Roman"/>
              </w:rPr>
              <w:t>SIA “JELGAVAS TIPOGRĀFIJA”</w:t>
            </w:r>
          </w:p>
          <w:p w:rsidR="00D46CC7" w:rsidRPr="007C01D0" w:rsidRDefault="00D46CC7" w:rsidP="00555C5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7" w:rsidRPr="007C01D0" w:rsidRDefault="00D46CC7" w:rsidP="00555C5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01D0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D46CC7" w:rsidRPr="002E0FB3" w:rsidRDefault="00D46CC7" w:rsidP="00D46C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E0FB3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Sabiedrība ar ierobežotu atbildību “Latgales druka”. </w:t>
      </w:r>
      <w:r w:rsidRPr="002E0FB3">
        <w:rPr>
          <w:rFonts w:ascii="Times New Roman" w:eastAsia="Times New Roman" w:hAnsi="Times New Roman"/>
          <w:bCs/>
          <w:lang w:eastAsia="lv-LV"/>
        </w:rPr>
        <w:t>Iepirkuma komisija, pamatojoties uz pretendentes Sabiedrība ar ierobežotu atbildību “Latgales druka” sniegto informāciju, konstatēja, ka tā</w:t>
      </w:r>
      <w:r>
        <w:rPr>
          <w:rFonts w:ascii="Times New Roman" w:eastAsia="Times New Roman" w:hAnsi="Times New Roman"/>
          <w:bCs/>
          <w:lang w:eastAsia="lv-LV"/>
        </w:rPr>
        <w:t>s</w:t>
      </w:r>
      <w:r w:rsidRPr="002E0FB3">
        <w:rPr>
          <w:rFonts w:ascii="Times New Roman" w:eastAsia="Times New Roman" w:hAnsi="Times New Roman"/>
          <w:bCs/>
          <w:lang w:eastAsia="lv-LV"/>
        </w:rPr>
        <w:t xml:space="preserve"> iesni</w:t>
      </w:r>
      <w:r>
        <w:rPr>
          <w:rFonts w:ascii="Times New Roman" w:eastAsia="Times New Roman" w:hAnsi="Times New Roman"/>
          <w:bCs/>
          <w:lang w:eastAsia="lv-LV"/>
        </w:rPr>
        <w:t>e</w:t>
      </w:r>
      <w:r w:rsidRPr="002E0FB3">
        <w:rPr>
          <w:rFonts w:ascii="Times New Roman" w:eastAsia="Times New Roman" w:hAnsi="Times New Roman"/>
          <w:bCs/>
          <w:lang w:eastAsia="lv-LV"/>
        </w:rPr>
        <w:t>gtajā finanšu piedāvājumā ir aritmētiskā kļūda</w:t>
      </w:r>
      <w:r>
        <w:rPr>
          <w:rFonts w:ascii="Times New Roman" w:eastAsia="Times New Roman" w:hAnsi="Times New Roman"/>
          <w:bCs/>
          <w:lang w:eastAsia="lv-LV"/>
        </w:rPr>
        <w:t>,</w:t>
      </w:r>
      <w:r w:rsidRPr="002E0FB3">
        <w:rPr>
          <w:rFonts w:ascii="Times New Roman" w:eastAsia="Times New Roman" w:hAnsi="Times New Roman"/>
          <w:bCs/>
          <w:lang w:eastAsia="lv-LV"/>
        </w:rPr>
        <w:t xml:space="preserve"> </w:t>
      </w:r>
      <w:r w:rsidRPr="002E0FB3">
        <w:rPr>
          <w:rFonts w:ascii="Times New Roman" w:hAnsi="Times New Roman"/>
          <w:bCs/>
        </w:rPr>
        <w:t xml:space="preserve">saskaitot </w:t>
      </w:r>
      <w:r>
        <w:rPr>
          <w:rFonts w:ascii="Times New Roman" w:hAnsi="Times New Roman"/>
          <w:bCs/>
        </w:rPr>
        <w:t>kopējo</w:t>
      </w:r>
      <w:r w:rsidRPr="002E0FB3">
        <w:rPr>
          <w:rFonts w:ascii="Times New Roman" w:hAnsi="Times New Roman"/>
          <w:bCs/>
        </w:rPr>
        <w:t xml:space="preserve"> cenu</w:t>
      </w:r>
      <w:r>
        <w:rPr>
          <w:rFonts w:ascii="Times New Roman" w:hAnsi="Times New Roman"/>
          <w:bCs/>
        </w:rPr>
        <w:t xml:space="preserve"> visām norādītajām brošūrām </w:t>
      </w:r>
      <w:r w:rsidRPr="002E0FB3">
        <w:rPr>
          <w:rFonts w:ascii="Times New Roman" w:hAnsi="Times New Roman"/>
          <w:bCs/>
        </w:rPr>
        <w:t>50.eks. un 100 eks.tīrāžai, proti, pretendente kā kopējo cenu</w:t>
      </w:r>
      <w:r>
        <w:rPr>
          <w:rFonts w:ascii="Times New Roman" w:hAnsi="Times New Roman"/>
          <w:bCs/>
        </w:rPr>
        <w:t xml:space="preserve"> visām norādītajām brošūrām</w:t>
      </w:r>
      <w:r w:rsidRPr="002E0FB3">
        <w:rPr>
          <w:rFonts w:ascii="Times New Roman" w:hAnsi="Times New Roman"/>
          <w:bCs/>
        </w:rPr>
        <w:t xml:space="preserve"> 50.eks</w:t>
      </w:r>
      <w:r>
        <w:rPr>
          <w:rFonts w:ascii="Times New Roman" w:hAnsi="Times New Roman"/>
          <w:bCs/>
        </w:rPr>
        <w:t xml:space="preserve"> tirāžai norādījusi </w:t>
      </w:r>
      <w:r w:rsidRPr="002E0FB3">
        <w:rPr>
          <w:rFonts w:ascii="Times New Roman" w:hAnsi="Times New Roman"/>
          <w:bCs/>
        </w:rPr>
        <w:t xml:space="preserve">71.51 EUR un 100 eks. </w:t>
      </w:r>
      <w:r>
        <w:rPr>
          <w:rFonts w:ascii="Times New Roman" w:hAnsi="Times New Roman"/>
          <w:bCs/>
        </w:rPr>
        <w:t xml:space="preserve">tirāžai norādījusi </w:t>
      </w:r>
      <w:r w:rsidRPr="002E0FB3">
        <w:rPr>
          <w:rFonts w:ascii="Times New Roman" w:hAnsi="Times New Roman"/>
          <w:bCs/>
        </w:rPr>
        <w:t>71.51 EUR, taču Komisija, veicot pārrēķinu, konstatē, ka kopēj</w:t>
      </w:r>
      <w:r>
        <w:rPr>
          <w:rFonts w:ascii="Times New Roman" w:hAnsi="Times New Roman"/>
          <w:bCs/>
        </w:rPr>
        <w:t>ā</w:t>
      </w:r>
      <w:r w:rsidRPr="002E0FB3">
        <w:rPr>
          <w:rFonts w:ascii="Times New Roman" w:hAnsi="Times New Roman"/>
          <w:bCs/>
        </w:rPr>
        <w:t xml:space="preserve"> preču</w:t>
      </w:r>
      <w:r>
        <w:rPr>
          <w:rFonts w:ascii="Times New Roman" w:hAnsi="Times New Roman"/>
          <w:bCs/>
        </w:rPr>
        <w:t xml:space="preserve"> cena</w:t>
      </w:r>
      <w:r w:rsidRPr="002E0F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visām norādītajām brošūrām </w:t>
      </w:r>
      <w:r w:rsidRPr="002E0FB3">
        <w:rPr>
          <w:rFonts w:ascii="Times New Roman" w:hAnsi="Times New Roman"/>
          <w:bCs/>
        </w:rPr>
        <w:t>50.eks</w:t>
      </w:r>
      <w:r>
        <w:rPr>
          <w:rFonts w:ascii="Times New Roman" w:hAnsi="Times New Roman"/>
          <w:bCs/>
        </w:rPr>
        <w:t xml:space="preserve"> tirāžai, saskaitot viena eksemplāra izmaksas, </w:t>
      </w:r>
      <w:r w:rsidRPr="002E0FB3">
        <w:rPr>
          <w:rFonts w:ascii="Times New Roman" w:hAnsi="Times New Roman"/>
          <w:bCs/>
        </w:rPr>
        <w:t>sastāda 71.50 EUR un 100 eks.tirāž</w:t>
      </w:r>
      <w:r>
        <w:rPr>
          <w:rFonts w:ascii="Times New Roman" w:hAnsi="Times New Roman"/>
          <w:bCs/>
        </w:rPr>
        <w:t xml:space="preserve">ai </w:t>
      </w:r>
      <w:r w:rsidRPr="002E0FB3">
        <w:rPr>
          <w:rFonts w:ascii="Times New Roman" w:hAnsi="Times New Roman"/>
          <w:bCs/>
        </w:rPr>
        <w:t xml:space="preserve"> sastāda 71.50 EUR. Līdz ar to kopējā </w:t>
      </w:r>
      <w:r>
        <w:rPr>
          <w:rFonts w:ascii="Times New Roman" w:hAnsi="Times New Roman"/>
          <w:bCs/>
        </w:rPr>
        <w:t xml:space="preserve"> piedāvātā cena saskaitot visas piedāvātās viena eksemplāra </w:t>
      </w:r>
      <w:r w:rsidRPr="002E0FB3">
        <w:rPr>
          <w:rFonts w:ascii="Times New Roman" w:hAnsi="Times New Roman"/>
          <w:bCs/>
        </w:rPr>
        <w:t>cena</w:t>
      </w:r>
      <w:r>
        <w:rPr>
          <w:rFonts w:ascii="Times New Roman" w:hAnsi="Times New Roman"/>
          <w:bCs/>
        </w:rPr>
        <w:t>s</w:t>
      </w:r>
      <w:r w:rsidRPr="002E0FB3">
        <w:rPr>
          <w:rFonts w:ascii="Times New Roman" w:hAnsi="Times New Roman"/>
          <w:bCs/>
        </w:rPr>
        <w:t xml:space="preserve"> kopā par visām preču pozīcijām 315.03 EUR vietā sastāda 315.01 EUR.</w:t>
      </w:r>
      <w:r w:rsidRPr="002E0FB3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D74105">
        <w:rPr>
          <w:rFonts w:ascii="Times New Roman" w:eastAsia="Times New Roman" w:hAnsi="Times New Roman"/>
          <w:bCs/>
          <w:lang w:eastAsia="lv-LV"/>
        </w:rPr>
        <w:t>nav</w:t>
      </w:r>
      <w:r>
        <w:rPr>
          <w:rFonts w:ascii="Times New Roman" w:eastAsia="Times New Roman" w:hAnsi="Times New Roman"/>
          <w:bCs/>
          <w:lang w:eastAsia="lv-LV"/>
        </w:rPr>
        <w:t>.</w:t>
      </w:r>
    </w:p>
    <w:p w:rsidR="00D46CC7" w:rsidRPr="006210E3" w:rsidRDefault="00D46CC7" w:rsidP="00D46C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C01D0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7C01D0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7C01D0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7C01D0">
        <w:rPr>
          <w:rFonts w:ascii="Times New Roman" w:eastAsia="Times New Roman" w:hAnsi="Times New Roman"/>
          <w:bCs/>
          <w:lang w:eastAsia="lv-LV"/>
        </w:rPr>
        <w:t xml:space="preserve"> </w:t>
      </w:r>
      <w:r w:rsidRPr="007C01D0">
        <w:rPr>
          <w:rFonts w:ascii="Times New Roman" w:eastAsia="Times New Roman" w:hAnsi="Times New Roman"/>
          <w:b/>
          <w:bCs/>
          <w:lang w:eastAsia="lv-LV"/>
        </w:rPr>
        <w:t>uz pretendentu</w:t>
      </w:r>
      <w:r>
        <w:rPr>
          <w:rFonts w:ascii="Times New Roman" w:eastAsia="Times New Roman" w:hAnsi="Times New Roman"/>
          <w:b/>
          <w:bCs/>
          <w:lang w:eastAsia="lv-LV"/>
        </w:rPr>
        <w:t xml:space="preserve">, </w:t>
      </w:r>
      <w:r w:rsidRPr="00D74105">
        <w:rPr>
          <w:rFonts w:ascii="Times New Roman" w:hAnsi="Times New Roman"/>
          <w:b/>
        </w:rPr>
        <w:t xml:space="preserve">kuram būtu piešķiramas līguma slēgšanas tiesības- </w:t>
      </w:r>
      <w:r w:rsidRPr="00D74105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66ED8" w:rsidRPr="006210E3">
        <w:rPr>
          <w:rFonts w:ascii="Times New Roman" w:hAnsi="Times New Roman"/>
          <w:b/>
        </w:rPr>
        <w:t>Sabiedrība ar ierobežotu atbildību „Latgales druka”</w:t>
      </w:r>
      <w:r w:rsidRPr="00D74105">
        <w:rPr>
          <w:rFonts w:ascii="Times New Roman" w:eastAsia="Times New Roman" w:hAnsi="Times New Roman"/>
          <w:b/>
          <w:bCs/>
          <w:lang w:eastAsia="lv-LV"/>
        </w:rPr>
        <w:t>:</w:t>
      </w:r>
      <w:r w:rsidRPr="007C01D0">
        <w:rPr>
          <w:rFonts w:ascii="Times New Roman" w:eastAsia="Times New Roman" w:hAnsi="Times New Roman"/>
          <w:bCs/>
          <w:lang w:eastAsia="lv-LV"/>
        </w:rPr>
        <w:t xml:space="preserve"> </w:t>
      </w:r>
      <w:r w:rsidRPr="00D74105">
        <w:rPr>
          <w:rFonts w:ascii="Times New Roman" w:eastAsia="Times New Roman" w:hAnsi="Times New Roman"/>
          <w:bCs/>
          <w:u w:val="single"/>
          <w:lang w:eastAsia="lv-LV"/>
        </w:rPr>
        <w:t>nav attiecināmi.</w:t>
      </w:r>
    </w:p>
    <w:p w:rsidR="00D46CC7" w:rsidRDefault="00D46CC7" w:rsidP="00D46C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Par uzvarētāju </w:t>
      </w:r>
      <w:r>
        <w:rPr>
          <w:rFonts w:ascii="Times New Roman" w:eastAsia="Times New Roman" w:hAnsi="Times New Roman"/>
          <w:b/>
          <w:bCs/>
          <w:lang w:eastAsia="lv-LV"/>
        </w:rPr>
        <w:t xml:space="preserve">Iepirkuma </w:t>
      </w:r>
      <w:r w:rsidRPr="000F3457">
        <w:rPr>
          <w:rFonts w:ascii="Times New Roman" w:eastAsia="Times New Roman" w:hAnsi="Times New Roman"/>
          <w:b/>
          <w:bCs/>
          <w:lang w:eastAsia="lv-LV"/>
        </w:rPr>
        <w:t>noteikt</w:t>
      </w:r>
      <w:r>
        <w:rPr>
          <w:rFonts w:ascii="Times New Roman" w:eastAsia="Times New Roman" w:hAnsi="Times New Roman"/>
          <w:b/>
          <w:bCs/>
          <w:lang w:eastAsia="lv-LV"/>
        </w:rPr>
        <w:t>o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>
        <w:rPr>
          <w:rFonts w:ascii="Times New Roman" w:eastAsia="Times New Roman" w:hAnsi="Times New Roman"/>
          <w:b/>
          <w:bCs/>
          <w:lang w:eastAsia="lv-LV"/>
        </w:rPr>
        <w:t>u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salīdzinošās priekšrocības</w:t>
      </w:r>
      <w:r>
        <w:rPr>
          <w:rFonts w:ascii="Times New Roman" w:eastAsia="Times New Roman" w:hAnsi="Times New Roman"/>
          <w:b/>
          <w:bCs/>
          <w:lang w:eastAsia="lv-LV"/>
        </w:rPr>
        <w:t>:</w:t>
      </w:r>
    </w:p>
    <w:p w:rsidR="00D46CC7" w:rsidRPr="00D74105" w:rsidRDefault="00D46CC7" w:rsidP="00D46CC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210E3">
        <w:rPr>
          <w:rFonts w:ascii="Times New Roman" w:hAnsi="Times New Roman"/>
        </w:rPr>
        <w:t xml:space="preserve">Komisija, vērtējot pretendentu piedāvājumus atbilstoši Iepirkuma nolikuma </w:t>
      </w:r>
      <w:r w:rsidRPr="006210E3">
        <w:rPr>
          <w:rFonts w:ascii="Times New Roman" w:hAnsi="Times New Roman"/>
          <w:b/>
        </w:rPr>
        <w:t>5.4.punktā</w:t>
      </w:r>
      <w:r w:rsidRPr="006210E3">
        <w:rPr>
          <w:rFonts w:ascii="Times New Roman" w:hAnsi="Times New Roman"/>
        </w:rPr>
        <w:t xml:space="preserve"> noteiktajiem kritērijiem, secina, ka pretendentu </w:t>
      </w:r>
      <w:r w:rsidRPr="006210E3">
        <w:rPr>
          <w:rFonts w:ascii="Times New Roman" w:hAnsi="Times New Roman"/>
          <w:b/>
        </w:rPr>
        <w:t xml:space="preserve">Sabiedrība ar ierobežotu atbildību „Latgales druka”, SIA “JELGAVAS TIPOGRĀFIJA”, SIA “TALSU TIPOGRĀFIJA” </w:t>
      </w:r>
      <w:r w:rsidRPr="006210E3">
        <w:rPr>
          <w:rFonts w:ascii="Times New Roman" w:hAnsi="Times New Roman"/>
        </w:rPr>
        <w:t>piedāvājumi ir ieguvuši šādu vērtējumu (punktu skaitu):</w:t>
      </w:r>
    </w:p>
    <w:p w:rsidR="00D46CC7" w:rsidRPr="00D74105" w:rsidRDefault="00D46CC7" w:rsidP="00D46CC7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74105">
        <w:rPr>
          <w:rFonts w:ascii="Times New Roman" w:hAnsi="Times New Roman"/>
        </w:rPr>
        <w:t xml:space="preserve">Pretendenta </w:t>
      </w:r>
      <w:r w:rsidRPr="00D74105">
        <w:rPr>
          <w:rFonts w:ascii="Times New Roman" w:hAnsi="Times New Roman"/>
          <w:b/>
        </w:rPr>
        <w:t xml:space="preserve">Sabiedrība ar ierobežotu atbildību „Latgales druka” </w:t>
      </w:r>
      <w:r w:rsidRPr="00D74105">
        <w:rPr>
          <w:rFonts w:ascii="Times New Roman" w:hAnsi="Times New Roman"/>
          <w:bCs/>
        </w:rPr>
        <w:t>Piedāvājums</w:t>
      </w:r>
      <w:r w:rsidRPr="00D74105">
        <w:rPr>
          <w:rFonts w:ascii="Times New Roman" w:hAnsi="Times New Roman"/>
          <w:b/>
          <w:bCs/>
        </w:rPr>
        <w:t xml:space="preserve"> </w:t>
      </w:r>
      <w:r w:rsidRPr="00D74105">
        <w:rPr>
          <w:rFonts w:ascii="Times New Roman" w:hAnsi="Times New Roman"/>
          <w:b/>
          <w:bCs/>
          <w:u w:val="single"/>
        </w:rPr>
        <w:t xml:space="preserve">ir ieguvis augstāko punktu kopvērtējumu – </w:t>
      </w:r>
      <w:r w:rsidRPr="00D74105">
        <w:rPr>
          <w:rFonts w:ascii="Times New Roman" w:hAnsi="Times New Roman"/>
          <w:b/>
          <w:u w:val="single"/>
        </w:rPr>
        <w:t xml:space="preserve">91,41 </w:t>
      </w:r>
      <w:r w:rsidRPr="00D74105">
        <w:rPr>
          <w:rFonts w:ascii="Times New Roman" w:hAnsi="Times New Roman"/>
          <w:b/>
          <w:bCs/>
          <w:u w:val="single"/>
        </w:rPr>
        <w:t>punktus</w:t>
      </w:r>
      <w:r w:rsidRPr="00D74105">
        <w:rPr>
          <w:rFonts w:ascii="Times New Roman" w:hAnsi="Times New Roman"/>
          <w:b/>
          <w:bCs/>
        </w:rPr>
        <w:t>;</w:t>
      </w:r>
    </w:p>
    <w:p w:rsidR="00D46CC7" w:rsidRPr="00D74105" w:rsidRDefault="00D46CC7" w:rsidP="00D46CC7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74105">
        <w:rPr>
          <w:rFonts w:ascii="Times New Roman" w:hAnsi="Times New Roman"/>
        </w:rPr>
        <w:t xml:space="preserve">Pretendenta </w:t>
      </w:r>
      <w:r w:rsidRPr="00D74105">
        <w:rPr>
          <w:rFonts w:ascii="Times New Roman" w:hAnsi="Times New Roman"/>
          <w:b/>
        </w:rPr>
        <w:t>SIA “TALSU TIPOGRĀFIJA”</w:t>
      </w:r>
      <w:r w:rsidRPr="00D74105">
        <w:rPr>
          <w:rFonts w:ascii="Times New Roman" w:hAnsi="Times New Roman"/>
        </w:rPr>
        <w:t xml:space="preserve"> </w:t>
      </w:r>
      <w:r w:rsidRPr="00D74105">
        <w:rPr>
          <w:rFonts w:ascii="Times New Roman" w:hAnsi="Times New Roman"/>
          <w:bCs/>
        </w:rPr>
        <w:t xml:space="preserve">Piedāvājums </w:t>
      </w:r>
      <w:r w:rsidRPr="00D74105">
        <w:rPr>
          <w:rFonts w:ascii="Times New Roman" w:hAnsi="Times New Roman"/>
          <w:b/>
          <w:bCs/>
          <w:u w:val="single"/>
        </w:rPr>
        <w:t xml:space="preserve">ir ieguvis zemāku punktu kopvērtējumu – </w:t>
      </w:r>
      <w:r w:rsidRPr="00D74105">
        <w:rPr>
          <w:rFonts w:ascii="Times New Roman" w:hAnsi="Times New Roman"/>
          <w:b/>
          <w:u w:val="single"/>
        </w:rPr>
        <w:t xml:space="preserve">73,68 </w:t>
      </w:r>
      <w:r w:rsidRPr="00D74105">
        <w:rPr>
          <w:rFonts w:ascii="Times New Roman" w:hAnsi="Times New Roman"/>
          <w:b/>
          <w:bCs/>
          <w:u w:val="single"/>
        </w:rPr>
        <w:t>punktus;</w:t>
      </w:r>
    </w:p>
    <w:p w:rsidR="00D46CC7" w:rsidRPr="00D74105" w:rsidRDefault="00D46CC7" w:rsidP="00D46CC7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74105">
        <w:rPr>
          <w:rFonts w:ascii="Times New Roman" w:hAnsi="Times New Roman"/>
          <w:b/>
        </w:rPr>
        <w:t xml:space="preserve">SIA “JELGAVAS TIPOGRĀFIJA” </w:t>
      </w:r>
      <w:r w:rsidRPr="00D74105">
        <w:rPr>
          <w:rFonts w:ascii="Times New Roman" w:hAnsi="Times New Roman"/>
          <w:bCs/>
        </w:rPr>
        <w:t xml:space="preserve">Piedāvājums </w:t>
      </w:r>
      <w:r w:rsidRPr="00D74105">
        <w:rPr>
          <w:rFonts w:ascii="Times New Roman" w:hAnsi="Times New Roman"/>
          <w:b/>
          <w:bCs/>
          <w:u w:val="single"/>
        </w:rPr>
        <w:t>ir ieguvis zemāku punktu kopvērtējumu –</w:t>
      </w:r>
      <w:r w:rsidRPr="00D74105">
        <w:rPr>
          <w:rFonts w:ascii="Times New Roman" w:hAnsi="Times New Roman"/>
          <w:b/>
          <w:u w:val="single"/>
        </w:rPr>
        <w:t>66,75</w:t>
      </w:r>
      <w:r w:rsidRPr="00D74105">
        <w:rPr>
          <w:rFonts w:ascii="Times New Roman" w:hAnsi="Times New Roman"/>
          <w:u w:val="single"/>
        </w:rPr>
        <w:t xml:space="preserve"> </w:t>
      </w:r>
      <w:r w:rsidRPr="00D74105">
        <w:rPr>
          <w:rFonts w:ascii="Times New Roman" w:hAnsi="Times New Roman"/>
          <w:b/>
          <w:bCs/>
          <w:u w:val="single"/>
        </w:rPr>
        <w:t>punktus.</w:t>
      </w:r>
    </w:p>
    <w:p w:rsidR="00D46CC7" w:rsidRPr="007C01D0" w:rsidRDefault="00D46CC7" w:rsidP="00D46C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Cs/>
          <w:lang w:eastAsia="lv-LV"/>
        </w:rPr>
        <w:t xml:space="preserve">Komisija, ņemot vērā iepriekš minēto un pamatojoties uz Iepirkuma Nolikuma </w:t>
      </w:r>
      <w:r>
        <w:rPr>
          <w:rFonts w:ascii="Times New Roman" w:eastAsia="Times New Roman" w:hAnsi="Times New Roman"/>
          <w:bCs/>
          <w:lang w:eastAsia="lv-LV"/>
        </w:rPr>
        <w:t>5.7</w:t>
      </w:r>
      <w:r w:rsidRPr="007C01D0">
        <w:rPr>
          <w:rFonts w:ascii="Times New Roman" w:eastAsia="Times New Roman" w:hAnsi="Times New Roman"/>
          <w:bCs/>
          <w:lang w:eastAsia="lv-LV"/>
        </w:rPr>
        <w:t>.punktā noteikto, kā arī saskaņā ar Publisko iepirkumu likuma 8</w:t>
      </w:r>
      <w:r w:rsidRPr="007C01D0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7C01D0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D46CC7" w:rsidRPr="007C01D0" w:rsidRDefault="00D46CC7" w:rsidP="00D46CC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7C01D0">
        <w:rPr>
          <w:rFonts w:ascii="Times New Roman" w:hAnsi="Times New Roman"/>
        </w:rPr>
        <w:t xml:space="preserve">atzīt pretendentu </w:t>
      </w:r>
      <w:r w:rsidRPr="007C01D0">
        <w:rPr>
          <w:rFonts w:ascii="Times New Roman" w:eastAsia="Times New Roman" w:hAnsi="Times New Roman"/>
          <w:bCs/>
          <w:lang w:eastAsia="lv-LV"/>
        </w:rPr>
        <w:t>par uzvarētāju Iepirkuma “</w:t>
      </w:r>
      <w:r w:rsidRPr="007C01D0">
        <w:rPr>
          <w:rFonts w:ascii="Times New Roman" w:hAnsi="Times New Roman"/>
          <w:b/>
        </w:rPr>
        <w:t>Poligrāfisko materiālu izgatavošana un piegāde Latvijas Universitātes vajadzībām</w:t>
      </w:r>
      <w:r w:rsidRPr="007C01D0">
        <w:rPr>
          <w:rFonts w:ascii="Times New Roman" w:hAnsi="Times New Roman"/>
        </w:rPr>
        <w:t>”</w:t>
      </w:r>
      <w:r w:rsidRPr="007C01D0">
        <w:rPr>
          <w:rFonts w:ascii="Times New Roman" w:eastAsia="Times New Roman" w:hAnsi="Times New Roman"/>
          <w:bCs/>
          <w:lang w:eastAsia="lv-LV"/>
        </w:rPr>
        <w:t>,</w:t>
      </w:r>
      <w:r w:rsidRPr="007C01D0">
        <w:rPr>
          <w:rFonts w:ascii="Times New Roman" w:eastAsia="Calibri" w:hAnsi="Times New Roman"/>
          <w:szCs w:val="22"/>
        </w:rPr>
        <w:t xml:space="preserve"> </w:t>
      </w:r>
      <w:r w:rsidRPr="007C01D0">
        <w:rPr>
          <w:rFonts w:ascii="Times New Roman" w:eastAsia="Times New Roman" w:hAnsi="Times New Roman"/>
          <w:bCs/>
          <w:lang w:eastAsia="lv-LV"/>
        </w:rPr>
        <w:t>jo tā piedāvājums ir saimnieciski visizdevīgākais:</w:t>
      </w:r>
      <w:r w:rsidRPr="007C01D0">
        <w:rPr>
          <w:rFonts w:ascii="Times New Roman" w:eastAsia="Times New Roman" w:hAnsi="Times New Roman"/>
          <w:b/>
          <w:bCs/>
          <w:lang w:eastAsia="lv-LV"/>
        </w:rPr>
        <w:t xml:space="preserve"> 91,41 punkti</w:t>
      </w:r>
      <w:r w:rsidRPr="007C01D0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D46CC7" w:rsidRPr="007C01D0" w:rsidRDefault="00D46CC7" w:rsidP="00D46CC7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Cs/>
          <w:lang w:eastAsia="lv-LV"/>
        </w:rPr>
        <w:t>triju darbdienu laikā pēc Komisijas lēmuma pieņemšanas informēt pretendentus par Iepirkumā atzīto uzvarētāju, kā arī Latvijas Universitātes mājas lapā internetā nodrošināt brīvu un tiešu elektronisku pieeju minētajam Komisijas lēmumam;</w:t>
      </w:r>
    </w:p>
    <w:p w:rsidR="00D46CC7" w:rsidRPr="007C01D0" w:rsidRDefault="00D46CC7" w:rsidP="00D46CC7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iepirkuma līgums ar </w:t>
      </w:r>
      <w:r w:rsidR="00344AA1" w:rsidRPr="006210E3">
        <w:rPr>
          <w:rFonts w:ascii="Times New Roman" w:hAnsi="Times New Roman"/>
          <w:b/>
        </w:rPr>
        <w:t>Sabiedrība ar ierobežotu atbildību „Latgales druka”</w:t>
      </w:r>
      <w:r w:rsidRPr="007C01D0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noslēgtajiem līgumiem;</w:t>
      </w:r>
    </w:p>
    <w:p w:rsidR="00D46CC7" w:rsidRDefault="00D46CC7" w:rsidP="00D46CC7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C01D0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566ED8">
        <w:rPr>
          <w:rFonts w:ascii="Times New Roman" w:eastAsia="Times New Roman" w:hAnsi="Times New Roman"/>
          <w:bCs/>
          <w:lang w:eastAsia="lv-LV"/>
        </w:rPr>
        <w:t>s</w:t>
      </w:r>
      <w:r w:rsidRPr="007C01D0">
        <w:rPr>
          <w:rFonts w:ascii="Times New Roman" w:eastAsia="Times New Roman" w:hAnsi="Times New Roman"/>
          <w:bCs/>
          <w:lang w:eastAsia="lv-LV"/>
        </w:rPr>
        <w:t>, Latvijas Universitātes mājas lapā ievietot noslēgto iepirkuma līgumu tekstu, atbilstoši normatīvajos aktos noteiktajai kārtībai ievērojot komercnoslēpuma aizsardzības prasības.</w:t>
      </w:r>
    </w:p>
    <w:p w:rsidR="006A6D3F" w:rsidRPr="006A6D3F" w:rsidRDefault="006A6D3F" w:rsidP="006A6D3F">
      <w:pPr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397"/>
        <w:gridCol w:w="1956"/>
        <w:gridCol w:w="3686"/>
      </w:tblGrid>
      <w:tr w:rsidR="006A6D3F" w:rsidRPr="008916E9" w:rsidTr="006A6D3F">
        <w:trPr>
          <w:trHeight w:val="1371"/>
        </w:trPr>
        <w:tc>
          <w:tcPr>
            <w:tcW w:w="3397" w:type="dxa"/>
            <w:shd w:val="clear" w:color="auto" w:fill="auto"/>
          </w:tcPr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Style w:val="Emphasis"/>
                <w:rFonts w:ascii="Times New Roman" w:hAnsi="Times New Roman"/>
                <w:i w:val="0"/>
              </w:rPr>
              <w:t>Komisijas priekšsēdētāja:</w:t>
            </w:r>
          </w:p>
          <w:p w:rsidR="006A6D3F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2E0FB3" w:rsidRPr="008916E9" w:rsidRDefault="002E0FB3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Fonts w:ascii="Times New Roman" w:hAnsi="Times New Roman"/>
              </w:rPr>
              <w:t xml:space="preserve">Komisijas locekļi: </w:t>
            </w: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2E0FB3" w:rsidRDefault="002E0FB3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Style w:val="Emphasis"/>
                <w:rFonts w:ascii="Times New Roman" w:hAnsi="Times New Roman"/>
                <w:i w:val="0"/>
              </w:rPr>
              <w:t>Iepirkuma komisijas sekretāre:</w:t>
            </w: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Style w:val="Emphasis"/>
                <w:rFonts w:ascii="Times New Roman" w:hAnsi="Times New Roman"/>
                <w:i w:val="0"/>
              </w:rPr>
              <w:t>B.Broka</w:t>
            </w:r>
          </w:p>
          <w:p w:rsidR="006A6D3F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2E0FB3" w:rsidRPr="008916E9" w:rsidRDefault="002E0FB3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Fonts w:ascii="Times New Roman" w:hAnsi="Times New Roman"/>
              </w:rPr>
              <w:t>K.Čikste</w:t>
            </w: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Fonts w:ascii="Times New Roman" w:hAnsi="Times New Roman"/>
              </w:rPr>
              <w:t>A.Brakša</w:t>
            </w:r>
          </w:p>
          <w:p w:rsidR="006A6D3F" w:rsidRPr="008916E9" w:rsidRDefault="006A6D3F" w:rsidP="00081A56">
            <w:pPr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jc w:val="both"/>
              <w:rPr>
                <w:rFonts w:ascii="Times New Roman" w:hAnsi="Times New Roman"/>
              </w:rPr>
            </w:pPr>
            <w:r w:rsidRPr="008916E9">
              <w:rPr>
                <w:rFonts w:ascii="Times New Roman" w:hAnsi="Times New Roman"/>
              </w:rPr>
              <w:t>J.Priede</w:t>
            </w:r>
          </w:p>
          <w:p w:rsidR="006A6D3F" w:rsidRDefault="006A6D3F" w:rsidP="00081A56">
            <w:pPr>
              <w:rPr>
                <w:rFonts w:ascii="Times New Roman" w:hAnsi="Times New Roman"/>
              </w:rPr>
            </w:pPr>
          </w:p>
          <w:p w:rsidR="002E0FB3" w:rsidRDefault="002E0FB3" w:rsidP="00081A56">
            <w:pPr>
              <w:rPr>
                <w:rFonts w:ascii="Times New Roman" w:hAnsi="Times New Roman"/>
              </w:rPr>
            </w:pPr>
          </w:p>
          <w:p w:rsidR="006A6D3F" w:rsidRPr="008916E9" w:rsidRDefault="006A6D3F" w:rsidP="00081A56">
            <w:pPr>
              <w:rPr>
                <w:rFonts w:ascii="Times New Roman" w:hAnsi="Times New Roman"/>
              </w:rPr>
            </w:pPr>
            <w:r w:rsidRPr="008916E9">
              <w:rPr>
                <w:rStyle w:val="Emphasis"/>
                <w:rFonts w:ascii="Times New Roman" w:hAnsi="Times New Roman"/>
                <w:i w:val="0"/>
              </w:rPr>
              <w:t>A.Andržejevska</w:t>
            </w:r>
          </w:p>
        </w:tc>
        <w:tc>
          <w:tcPr>
            <w:tcW w:w="3686" w:type="dxa"/>
            <w:shd w:val="clear" w:color="auto" w:fill="auto"/>
          </w:tcPr>
          <w:p w:rsidR="006A6D3F" w:rsidRPr="00D4399B" w:rsidRDefault="00D4399B" w:rsidP="00081A56">
            <w:pPr>
              <w:rPr>
                <w:rFonts w:ascii="Times New Roman" w:hAnsi="Times New Roman"/>
                <w:i/>
              </w:rPr>
            </w:pPr>
            <w:r w:rsidRPr="00D4399B">
              <w:rPr>
                <w:rFonts w:ascii="Times New Roman" w:hAnsi="Times New Roman"/>
                <w:i/>
              </w:rPr>
              <w:t>paraksts</w:t>
            </w:r>
          </w:p>
          <w:p w:rsidR="006A6D3F" w:rsidRDefault="006A6D3F" w:rsidP="00081A56">
            <w:pPr>
              <w:rPr>
                <w:rStyle w:val="Emphasis"/>
                <w:rFonts w:ascii="Times New Roman" w:hAnsi="Times New Roman"/>
                <w:i w:val="0"/>
              </w:rPr>
            </w:pPr>
          </w:p>
          <w:p w:rsidR="002E0FB3" w:rsidRPr="008916E9" w:rsidRDefault="002E0FB3" w:rsidP="00081A56">
            <w:pPr>
              <w:rPr>
                <w:rStyle w:val="Emphasis"/>
                <w:rFonts w:ascii="Times New Roman" w:hAnsi="Times New Roman"/>
                <w:i w:val="0"/>
              </w:rPr>
            </w:pPr>
          </w:p>
          <w:p w:rsidR="00D4399B" w:rsidRPr="00D4399B" w:rsidRDefault="00D4399B" w:rsidP="00D4399B">
            <w:pPr>
              <w:rPr>
                <w:rFonts w:ascii="Times New Roman" w:hAnsi="Times New Roman"/>
                <w:i/>
              </w:rPr>
            </w:pPr>
            <w:r w:rsidRPr="00D4399B">
              <w:rPr>
                <w:rFonts w:ascii="Times New Roman" w:hAnsi="Times New Roman"/>
                <w:i/>
              </w:rPr>
              <w:t>paraksts</w:t>
            </w:r>
          </w:p>
          <w:p w:rsidR="006A6D3F" w:rsidRPr="00D4399B" w:rsidRDefault="006A6D3F" w:rsidP="00081A56">
            <w:pPr>
              <w:rPr>
                <w:rStyle w:val="Emphasis"/>
                <w:rFonts w:ascii="Times New Roman" w:hAnsi="Times New Roman"/>
                <w:i w:val="0"/>
              </w:rPr>
            </w:pPr>
          </w:p>
          <w:p w:rsidR="00D4399B" w:rsidRPr="00D4399B" w:rsidRDefault="00D4399B" w:rsidP="00D4399B">
            <w:pPr>
              <w:rPr>
                <w:rFonts w:ascii="Times New Roman" w:hAnsi="Times New Roman"/>
                <w:i/>
              </w:rPr>
            </w:pPr>
            <w:r w:rsidRPr="00D4399B">
              <w:rPr>
                <w:rFonts w:ascii="Times New Roman" w:hAnsi="Times New Roman"/>
                <w:i/>
              </w:rPr>
              <w:t>paraksts</w:t>
            </w:r>
          </w:p>
          <w:p w:rsidR="006A6D3F" w:rsidRPr="008916E9" w:rsidRDefault="006A6D3F" w:rsidP="00081A56">
            <w:pPr>
              <w:rPr>
                <w:rStyle w:val="Emphasis"/>
                <w:rFonts w:ascii="Times New Roman" w:hAnsi="Times New Roman"/>
                <w:i w:val="0"/>
              </w:rPr>
            </w:pPr>
          </w:p>
          <w:p w:rsidR="00D4399B" w:rsidRPr="00D4399B" w:rsidRDefault="00D4399B" w:rsidP="00D4399B">
            <w:pPr>
              <w:rPr>
                <w:rFonts w:ascii="Times New Roman" w:hAnsi="Times New Roman"/>
                <w:i/>
              </w:rPr>
            </w:pPr>
            <w:r w:rsidRPr="00D4399B">
              <w:rPr>
                <w:rFonts w:ascii="Times New Roman" w:hAnsi="Times New Roman"/>
                <w:i/>
              </w:rPr>
              <w:t>paraksts</w:t>
            </w:r>
          </w:p>
          <w:p w:rsidR="006A6D3F" w:rsidRPr="008916E9" w:rsidRDefault="006A6D3F" w:rsidP="00081A56">
            <w:pPr>
              <w:rPr>
                <w:rStyle w:val="Emphasis"/>
                <w:rFonts w:ascii="Times New Roman" w:hAnsi="Times New Roman"/>
                <w:i w:val="0"/>
              </w:rPr>
            </w:pPr>
          </w:p>
          <w:p w:rsidR="002E0FB3" w:rsidRDefault="002E0FB3" w:rsidP="00081A56">
            <w:pPr>
              <w:rPr>
                <w:rFonts w:ascii="Times New Roman" w:hAnsi="Times New Roman"/>
              </w:rPr>
            </w:pPr>
          </w:p>
          <w:p w:rsidR="00D4399B" w:rsidRPr="00D4399B" w:rsidRDefault="00D4399B" w:rsidP="00D4399B">
            <w:pPr>
              <w:rPr>
                <w:rFonts w:ascii="Times New Roman" w:hAnsi="Times New Roman"/>
                <w:i/>
              </w:rPr>
            </w:pPr>
            <w:r w:rsidRPr="00D4399B">
              <w:rPr>
                <w:rFonts w:ascii="Times New Roman" w:hAnsi="Times New Roman"/>
                <w:i/>
              </w:rPr>
              <w:t>paraksts</w:t>
            </w:r>
          </w:p>
          <w:p w:rsidR="006A6D3F" w:rsidRPr="008916E9" w:rsidRDefault="006A6D3F" w:rsidP="00081A56">
            <w:pPr>
              <w:rPr>
                <w:rFonts w:ascii="Times New Roman" w:hAnsi="Times New Roman"/>
              </w:rPr>
            </w:pPr>
          </w:p>
        </w:tc>
      </w:tr>
    </w:tbl>
    <w:p w:rsidR="008973FD" w:rsidRPr="007C01D0" w:rsidRDefault="008973FD" w:rsidP="00D46CC7">
      <w:pPr>
        <w:rPr>
          <w:rFonts w:ascii="Times New Roman" w:hAnsi="Times New Roman"/>
        </w:rPr>
      </w:pPr>
    </w:p>
    <w:sectPr w:rsidR="008973FD" w:rsidRPr="007C01D0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61" w:rsidRDefault="00405D61" w:rsidP="006033D8">
      <w:r>
        <w:separator/>
      </w:r>
    </w:p>
  </w:endnote>
  <w:endnote w:type="continuationSeparator" w:id="0">
    <w:p w:rsidR="00405D61" w:rsidRDefault="00405D61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50CEB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61" w:rsidRDefault="00405D61" w:rsidP="006033D8">
      <w:r>
        <w:separator/>
      </w:r>
    </w:p>
  </w:footnote>
  <w:footnote w:type="continuationSeparator" w:id="0">
    <w:p w:rsidR="00405D61" w:rsidRDefault="00405D61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657228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561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058E7"/>
    <w:rsid w:val="00115D02"/>
    <w:rsid w:val="00116E28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085A"/>
    <w:rsid w:val="00296863"/>
    <w:rsid w:val="002B597C"/>
    <w:rsid w:val="002C4E9E"/>
    <w:rsid w:val="002C7E9A"/>
    <w:rsid w:val="002E0FB3"/>
    <w:rsid w:val="002F55AF"/>
    <w:rsid w:val="00300F4E"/>
    <w:rsid w:val="00312122"/>
    <w:rsid w:val="003326E9"/>
    <w:rsid w:val="00344AA1"/>
    <w:rsid w:val="00361A7E"/>
    <w:rsid w:val="00365D1C"/>
    <w:rsid w:val="0038727C"/>
    <w:rsid w:val="00391387"/>
    <w:rsid w:val="003C5192"/>
    <w:rsid w:val="003C7D90"/>
    <w:rsid w:val="003D4FFD"/>
    <w:rsid w:val="003F58C7"/>
    <w:rsid w:val="00405D61"/>
    <w:rsid w:val="00407C29"/>
    <w:rsid w:val="00434345"/>
    <w:rsid w:val="004357CF"/>
    <w:rsid w:val="00463096"/>
    <w:rsid w:val="00465086"/>
    <w:rsid w:val="004B763D"/>
    <w:rsid w:val="00501D73"/>
    <w:rsid w:val="00506ACF"/>
    <w:rsid w:val="00527289"/>
    <w:rsid w:val="00533F7C"/>
    <w:rsid w:val="00540A54"/>
    <w:rsid w:val="00566ED8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A6D3F"/>
    <w:rsid w:val="006D6BD6"/>
    <w:rsid w:val="006E4C54"/>
    <w:rsid w:val="006F447C"/>
    <w:rsid w:val="007124C1"/>
    <w:rsid w:val="007156D9"/>
    <w:rsid w:val="007438AC"/>
    <w:rsid w:val="00750CEB"/>
    <w:rsid w:val="00765C53"/>
    <w:rsid w:val="00784817"/>
    <w:rsid w:val="007C01D0"/>
    <w:rsid w:val="007C27E0"/>
    <w:rsid w:val="007E545B"/>
    <w:rsid w:val="007E7FB9"/>
    <w:rsid w:val="007F1D8D"/>
    <w:rsid w:val="00807C5E"/>
    <w:rsid w:val="008352E4"/>
    <w:rsid w:val="00851B4D"/>
    <w:rsid w:val="0087108C"/>
    <w:rsid w:val="0087766B"/>
    <w:rsid w:val="00886A19"/>
    <w:rsid w:val="0089129A"/>
    <w:rsid w:val="0089140D"/>
    <w:rsid w:val="008973FD"/>
    <w:rsid w:val="008B35E7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95DE5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D5DA1"/>
    <w:rsid w:val="00CF0A59"/>
    <w:rsid w:val="00D030F8"/>
    <w:rsid w:val="00D076EF"/>
    <w:rsid w:val="00D3329E"/>
    <w:rsid w:val="00D4399B"/>
    <w:rsid w:val="00D46CC7"/>
    <w:rsid w:val="00D549C4"/>
    <w:rsid w:val="00D962EC"/>
    <w:rsid w:val="00DB11ED"/>
    <w:rsid w:val="00DC0A97"/>
    <w:rsid w:val="00DE1A8B"/>
    <w:rsid w:val="00E12557"/>
    <w:rsid w:val="00E45FCB"/>
    <w:rsid w:val="00E73E16"/>
    <w:rsid w:val="00E910E3"/>
    <w:rsid w:val="00EA62F8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7C01D0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C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CC7"/>
    <w:rPr>
      <w:rFonts w:ascii="Cambria" w:eastAsia="Cambria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C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CC7"/>
    <w:rPr>
      <w:rFonts w:ascii="Cambria" w:eastAsia="Cambria" w:hAnsi="Cambr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7C01D0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C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CC7"/>
    <w:rPr>
      <w:rFonts w:ascii="Cambria" w:eastAsia="Cambria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C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CC7"/>
    <w:rPr>
      <w:rFonts w:ascii="Cambria" w:eastAsia="Cambria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4156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2016-07-22T15:17:00Z</cp:lastPrinted>
  <dcterms:created xsi:type="dcterms:W3CDTF">2016-08-03T13:12:00Z</dcterms:created>
  <dcterms:modified xsi:type="dcterms:W3CDTF">2016-08-03T13:12:00Z</dcterms:modified>
</cp:coreProperties>
</file>