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2B" w:rsidRDefault="00946730" w:rsidP="00343171">
      <w:pPr>
        <w:pStyle w:val="ListParagraph"/>
        <w:ind w:left="0"/>
        <w:jc w:val="both"/>
      </w:pPr>
      <w:r>
        <w:t>2</w:t>
      </w:r>
      <w:r w:rsidR="00C5091D">
        <w:t>7</w:t>
      </w:r>
      <w:r w:rsidR="0097232B" w:rsidRPr="0097232B">
        <w:t>.</w:t>
      </w:r>
      <w:r w:rsidR="00B86026">
        <w:t>01</w:t>
      </w:r>
      <w:r w:rsidR="0097232B" w:rsidRPr="0097232B">
        <w:t>.201</w:t>
      </w:r>
      <w:r w:rsidR="00B86026">
        <w:t>5</w:t>
      </w:r>
      <w:r w:rsidR="0097232B" w:rsidRPr="0097232B">
        <w:t>.</w:t>
      </w:r>
    </w:p>
    <w:p w:rsidR="0097232B" w:rsidRPr="0097232B" w:rsidRDefault="0097232B" w:rsidP="00343171">
      <w:pPr>
        <w:pStyle w:val="ListParagraph"/>
        <w:ind w:left="0"/>
        <w:jc w:val="both"/>
      </w:pPr>
    </w:p>
    <w:p w:rsidR="0097232B" w:rsidRPr="00F722D5" w:rsidRDefault="0097232B" w:rsidP="00343171">
      <w:pPr>
        <w:pStyle w:val="ListParagraph"/>
        <w:ind w:left="0"/>
        <w:jc w:val="center"/>
        <w:rPr>
          <w:b/>
        </w:rPr>
      </w:pPr>
      <w:r w:rsidRPr="00F722D5">
        <w:rPr>
          <w:b/>
        </w:rPr>
        <w:t>Atbilde</w:t>
      </w:r>
      <w:r w:rsidR="006543E3">
        <w:rPr>
          <w:b/>
        </w:rPr>
        <w:t>s</w:t>
      </w:r>
      <w:r w:rsidRPr="00F722D5">
        <w:rPr>
          <w:b/>
        </w:rPr>
        <w:t xml:space="preserve"> uz </w:t>
      </w:r>
      <w:r w:rsidR="00757AB4">
        <w:rPr>
          <w:b/>
        </w:rPr>
        <w:t xml:space="preserve">kandidāta </w:t>
      </w:r>
      <w:r w:rsidRPr="00F722D5">
        <w:rPr>
          <w:b/>
        </w:rPr>
        <w:t>uzdot</w:t>
      </w:r>
      <w:r w:rsidR="00946730">
        <w:rPr>
          <w:b/>
        </w:rPr>
        <w:t>ajiem</w:t>
      </w:r>
      <w:r w:rsidRPr="00F722D5">
        <w:rPr>
          <w:b/>
        </w:rPr>
        <w:t xml:space="preserve"> jautājum</w:t>
      </w:r>
      <w:r w:rsidR="00946730">
        <w:rPr>
          <w:b/>
        </w:rPr>
        <w:t>iem</w:t>
      </w:r>
    </w:p>
    <w:p w:rsidR="0097232B" w:rsidRPr="00F722D5" w:rsidRDefault="0097232B" w:rsidP="00343171">
      <w:pPr>
        <w:pStyle w:val="Heading2"/>
        <w:jc w:val="both"/>
        <w:rPr>
          <w:iCs w:val="0"/>
        </w:rPr>
      </w:pPr>
    </w:p>
    <w:p w:rsidR="00883FC2" w:rsidRDefault="0097232B" w:rsidP="00343171">
      <w:pPr>
        <w:pStyle w:val="HTMLPreformatte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2D5">
        <w:rPr>
          <w:rFonts w:ascii="Times New Roman" w:hAnsi="Times New Roman" w:cs="Times New Roman"/>
          <w:b/>
          <w:sz w:val="24"/>
          <w:szCs w:val="24"/>
        </w:rPr>
        <w:t>Jautājum</w:t>
      </w:r>
      <w:r w:rsidR="006543E3">
        <w:rPr>
          <w:rFonts w:ascii="Times New Roman" w:hAnsi="Times New Roman" w:cs="Times New Roman"/>
          <w:b/>
          <w:sz w:val="24"/>
          <w:szCs w:val="24"/>
        </w:rPr>
        <w:t>i</w:t>
      </w:r>
      <w:r w:rsidRPr="00F722D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C6CCA" w:rsidRPr="00BF7809" w:rsidRDefault="009B4278" w:rsidP="00965F6F">
      <w:pPr>
        <w:jc w:val="both"/>
      </w:pPr>
      <w:r w:rsidRPr="00BF7809">
        <w:rPr>
          <w:color w:val="222222"/>
          <w:shd w:val="clear" w:color="auto" w:fill="FFFFFF"/>
        </w:rPr>
        <w:t>Gatavojoties dalībai slēgtajā konkursā</w:t>
      </w:r>
      <w:r w:rsidR="00BF7809" w:rsidRPr="00BF7809">
        <w:rPr>
          <w:color w:val="222222"/>
          <w:shd w:val="clear" w:color="auto" w:fill="FFFFFF"/>
        </w:rPr>
        <w:t xml:space="preserve"> „</w:t>
      </w:r>
      <w:r w:rsidR="00BF7809" w:rsidRPr="00BF7809">
        <w:t>Mēbeļu un aprīkojuma piegāde un uzstādīšana”</w:t>
      </w:r>
      <w:r w:rsidR="00BF7809">
        <w:rPr>
          <w:color w:val="222222"/>
          <w:shd w:val="clear" w:color="auto" w:fill="FFFFFF"/>
        </w:rPr>
        <w:t xml:space="preserve"> LU 2014/34_ERAF 2 lūdzam </w:t>
      </w:r>
      <w:r w:rsidRPr="003C6CCA">
        <w:rPr>
          <w:color w:val="222222"/>
          <w:shd w:val="clear" w:color="auto" w:fill="FFFFFF"/>
        </w:rPr>
        <w:t>atbildēt</w:t>
      </w:r>
      <w:r w:rsidR="00BF7809">
        <w:rPr>
          <w:color w:val="222222"/>
        </w:rPr>
        <w:t xml:space="preserve"> </w:t>
      </w:r>
      <w:r w:rsidRPr="003C6CCA">
        <w:rPr>
          <w:color w:val="222222"/>
          <w:shd w:val="clear" w:color="auto" w:fill="FFFFFF"/>
        </w:rPr>
        <w:t>uz sekojošiem jautājumiem par iepirkuma priekšmet</w:t>
      </w:r>
      <w:r w:rsidR="003C6CCA">
        <w:rPr>
          <w:color w:val="222222"/>
          <w:shd w:val="clear" w:color="auto" w:fill="FFFFFF"/>
        </w:rPr>
        <w:t>u:</w:t>
      </w:r>
    </w:p>
    <w:p w:rsidR="0058682F" w:rsidRDefault="009B4278" w:rsidP="0058682F">
      <w:pPr>
        <w:shd w:val="clear" w:color="auto" w:fill="FFFFFF"/>
        <w:spacing w:after="120"/>
        <w:jc w:val="both"/>
        <w:rPr>
          <w:color w:val="222222"/>
          <w:shd w:val="clear" w:color="auto" w:fill="FFFFFF"/>
        </w:rPr>
      </w:pPr>
      <w:r w:rsidRPr="003C6CCA">
        <w:rPr>
          <w:color w:val="222222"/>
        </w:rPr>
        <w:br/>
      </w:r>
      <w:r w:rsidRPr="00946730">
        <w:rPr>
          <w:b/>
          <w:color w:val="222222"/>
          <w:shd w:val="clear" w:color="auto" w:fill="FFFFFF"/>
        </w:rPr>
        <w:t>1.</w:t>
      </w:r>
      <w:r w:rsidRPr="003C6CCA">
        <w:rPr>
          <w:color w:val="222222"/>
          <w:shd w:val="clear" w:color="auto" w:fill="FFFFFF"/>
        </w:rPr>
        <w:t xml:space="preserve"> Kādā veidā iespējams piegādāt 57,5 apspriežu un apmeklētāju galdus?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Vai šos galdus nav lietderīgāk izdalīt atsevišķās pozīcijās, par cik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tiem ir dažāds pielietojums?</w:t>
      </w:r>
      <w:r w:rsidR="0058682F">
        <w:rPr>
          <w:color w:val="222222"/>
          <w:shd w:val="clear" w:color="auto" w:fill="FFFFFF"/>
        </w:rPr>
        <w:t xml:space="preserve"> </w:t>
      </w:r>
    </w:p>
    <w:p w:rsidR="0058682F" w:rsidRDefault="009B4278" w:rsidP="0058682F">
      <w:pPr>
        <w:shd w:val="clear" w:color="auto" w:fill="FFFFFF"/>
        <w:spacing w:after="120"/>
        <w:jc w:val="both"/>
        <w:rPr>
          <w:color w:val="222222"/>
          <w:shd w:val="clear" w:color="auto" w:fill="FFFFFF"/>
        </w:rPr>
      </w:pPr>
      <w:r w:rsidRPr="00946730">
        <w:rPr>
          <w:b/>
          <w:color w:val="222222"/>
          <w:shd w:val="clear" w:color="auto" w:fill="FFFFFF"/>
        </w:rPr>
        <w:t>2.</w:t>
      </w:r>
      <w:r w:rsidRPr="003C6CCA">
        <w:rPr>
          <w:color w:val="222222"/>
          <w:shd w:val="clear" w:color="auto" w:fill="FFFFFF"/>
        </w:rPr>
        <w:t xml:space="preserve"> Vai nav iespējams iepazīties ar tehnisko projektu, lai vispār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izvērtētu lietderību piedalīties iepirkumā, par cik nav uzrādīti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nekādi mēbeļu tehniskie parametri?</w:t>
      </w:r>
    </w:p>
    <w:p w:rsidR="0058682F" w:rsidRDefault="009B4278" w:rsidP="0058682F">
      <w:pPr>
        <w:shd w:val="clear" w:color="auto" w:fill="FFFFFF"/>
        <w:spacing w:after="120"/>
        <w:jc w:val="both"/>
        <w:rPr>
          <w:color w:val="222222"/>
          <w:shd w:val="clear" w:color="auto" w:fill="FFFFFF"/>
        </w:rPr>
      </w:pPr>
      <w:r w:rsidRPr="00946730">
        <w:rPr>
          <w:b/>
          <w:color w:val="222222"/>
          <w:shd w:val="clear" w:color="auto" w:fill="FFFFFF"/>
        </w:rPr>
        <w:t>3.</w:t>
      </w:r>
      <w:r w:rsidRPr="003C6CCA">
        <w:rPr>
          <w:color w:val="222222"/>
          <w:shd w:val="clear" w:color="auto" w:fill="FFFFFF"/>
        </w:rPr>
        <w:t xml:space="preserve"> Konkurences palielināšanas nolūkos ieteicams iepirkuma priekšmeta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2. daļu sadalīt sīkāk izveidojot vēl vairākas iepirkuma daļas,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piemēram</w:t>
      </w:r>
      <w:r w:rsidR="003C6CCA">
        <w:rPr>
          <w:color w:val="222222"/>
          <w:shd w:val="clear" w:color="auto" w:fill="FFFFFF"/>
        </w:rPr>
        <w:t>:</w:t>
      </w:r>
      <w:r w:rsidRPr="003C6CCA">
        <w:rPr>
          <w:color w:val="222222"/>
          <w:shd w:val="clear" w:color="auto" w:fill="FFFFFF"/>
        </w:rPr>
        <w:t xml:space="preserve"> „Krēsli” vai „Sēdmēbeles”, kurā apvienotu apmeklētāju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krēslus, darba krēslus, atpūtas krēslus, sofas, soliņus u.c.,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atskaitot iebūvētos</w:t>
      </w:r>
      <w:r w:rsidR="003C6CCA">
        <w:rPr>
          <w:color w:val="222222"/>
          <w:shd w:val="clear" w:color="auto" w:fill="FFFFFF"/>
        </w:rPr>
        <w:t xml:space="preserve"> auditoriju krēslus. Cita daļas:</w:t>
      </w:r>
      <w:r w:rsidRPr="003C6CCA">
        <w:rPr>
          <w:color w:val="222222"/>
          <w:shd w:val="clear" w:color="auto" w:fill="FFFFFF"/>
        </w:rPr>
        <w:t xml:space="preserve"> „Korpusa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mēbeles”, „Individuāli izgatavojamas mēbeles” un līdzīgi. Šis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priekšlikums ir svarīgs arī tāpēc, ka dažādi mēbeļu ražotāji un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piegādātāji specializējas dažādu mēbeļu ražošanā un piegādēs. Ir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vairāki piemēri, kad lielas iepirkuma daļas sadalīšana vairākās daļās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rada lielāku konkurenci un līdz ar to ļauj ietaupīt valsts līdzekļus.</w:t>
      </w:r>
    </w:p>
    <w:p w:rsidR="0058682F" w:rsidRDefault="009B4278" w:rsidP="0058682F">
      <w:pPr>
        <w:shd w:val="clear" w:color="auto" w:fill="FFFFFF"/>
        <w:spacing w:after="120"/>
        <w:jc w:val="both"/>
        <w:rPr>
          <w:color w:val="222222"/>
          <w:shd w:val="clear" w:color="auto" w:fill="FFFFFF"/>
        </w:rPr>
      </w:pPr>
      <w:r w:rsidRPr="00946730">
        <w:rPr>
          <w:b/>
          <w:color w:val="222222"/>
          <w:shd w:val="clear" w:color="auto" w:fill="FFFFFF"/>
        </w:rPr>
        <w:t>4.</w:t>
      </w:r>
      <w:r w:rsidRPr="003C6CCA">
        <w:rPr>
          <w:color w:val="222222"/>
          <w:shd w:val="clear" w:color="auto" w:fill="FFFFFF"/>
        </w:rPr>
        <w:t xml:space="preserve"> Kas ir „</w:t>
      </w:r>
      <w:r w:rsidR="00BF7809">
        <w:rPr>
          <w:color w:val="222222"/>
          <w:shd w:val="clear" w:color="auto" w:fill="FFFFFF"/>
        </w:rPr>
        <w:t>g</w:t>
      </w:r>
      <w:r w:rsidRPr="003C6CCA">
        <w:rPr>
          <w:color w:val="222222"/>
          <w:shd w:val="clear" w:color="auto" w:fill="FFFFFF"/>
        </w:rPr>
        <w:t>rupu darba kapsulas”? Šāds termins tiek sastapts pirmo</w:t>
      </w:r>
      <w:r w:rsidR="0058682F">
        <w:rPr>
          <w:color w:val="222222"/>
          <w:shd w:val="clear" w:color="auto" w:fill="FFFFFF"/>
        </w:rPr>
        <w:t xml:space="preserve"> </w:t>
      </w:r>
      <w:r w:rsidRPr="003C6CCA">
        <w:rPr>
          <w:color w:val="222222"/>
          <w:shd w:val="clear" w:color="auto" w:fill="FFFFFF"/>
        </w:rPr>
        <w:t>reizi. Vai tā ir viena mēbele vai arī vairāku mēbeļu kopums?</w:t>
      </w:r>
      <w:r w:rsidR="0058682F">
        <w:rPr>
          <w:color w:val="222222"/>
          <w:shd w:val="clear" w:color="auto" w:fill="FFFFFF"/>
        </w:rPr>
        <w:t xml:space="preserve"> </w:t>
      </w:r>
    </w:p>
    <w:p w:rsidR="00965F6F" w:rsidRDefault="009B4278" w:rsidP="0058682F">
      <w:pPr>
        <w:shd w:val="clear" w:color="auto" w:fill="FFFFFF"/>
        <w:spacing w:after="120"/>
        <w:jc w:val="both"/>
        <w:rPr>
          <w:color w:val="222222"/>
          <w:shd w:val="clear" w:color="auto" w:fill="FFFFFF"/>
        </w:rPr>
      </w:pPr>
      <w:r w:rsidRPr="00946730">
        <w:rPr>
          <w:b/>
          <w:color w:val="222222"/>
          <w:shd w:val="clear" w:color="auto" w:fill="FFFFFF"/>
        </w:rPr>
        <w:t>5.</w:t>
      </w:r>
      <w:r w:rsidRPr="003C6CCA">
        <w:rPr>
          <w:color w:val="222222"/>
          <w:shd w:val="clear" w:color="auto" w:fill="FFFFFF"/>
        </w:rPr>
        <w:t xml:space="preserve"> Kvalifikācijas prasības tiek izvirzītas par pēdējiem 3 gadiem, vai</w:t>
      </w:r>
      <w:r w:rsidR="0058682F">
        <w:rPr>
          <w:color w:val="222222"/>
          <w:shd w:val="clear" w:color="auto" w:fill="FFFFFF"/>
        </w:rPr>
        <w:t xml:space="preserve"> </w:t>
      </w:r>
      <w:r w:rsidR="003C6CCA" w:rsidRPr="003C6CCA">
        <w:rPr>
          <w:color w:val="222222"/>
          <w:shd w:val="clear" w:color="auto" w:fill="FFFFFF"/>
        </w:rPr>
        <w:t xml:space="preserve">tie ir 2011., 2012., 2013. </w:t>
      </w:r>
      <w:r w:rsidR="00965F6F">
        <w:rPr>
          <w:color w:val="222222"/>
          <w:shd w:val="clear" w:color="auto" w:fill="FFFFFF"/>
        </w:rPr>
        <w:t>g</w:t>
      </w:r>
      <w:r w:rsidR="003C6CCA" w:rsidRPr="003C6CCA">
        <w:rPr>
          <w:color w:val="222222"/>
          <w:shd w:val="clear" w:color="auto" w:fill="FFFFFF"/>
        </w:rPr>
        <w:t>ads</w:t>
      </w:r>
      <w:r w:rsidR="00965F6F">
        <w:rPr>
          <w:color w:val="222222"/>
          <w:shd w:val="clear" w:color="auto" w:fill="FFFFFF"/>
        </w:rPr>
        <w:t>?</w:t>
      </w:r>
    </w:p>
    <w:p w:rsidR="00965F6F" w:rsidRDefault="00965F6F" w:rsidP="0024614C">
      <w:pPr>
        <w:shd w:val="clear" w:color="auto" w:fill="FFFFFF"/>
        <w:jc w:val="both"/>
        <w:rPr>
          <w:color w:val="222222"/>
          <w:shd w:val="clear" w:color="auto" w:fill="FFFFFF"/>
        </w:rPr>
      </w:pPr>
    </w:p>
    <w:p w:rsidR="00965F6F" w:rsidRPr="00965F6F" w:rsidRDefault="00965F6F" w:rsidP="0024614C">
      <w:pPr>
        <w:shd w:val="clear" w:color="auto" w:fill="FFFFFF"/>
        <w:jc w:val="both"/>
        <w:rPr>
          <w:b/>
        </w:rPr>
      </w:pPr>
      <w:r>
        <w:rPr>
          <w:b/>
        </w:rPr>
        <w:t>Atbilde uz 1. un 2.jautājumu:</w:t>
      </w:r>
    </w:p>
    <w:p w:rsidR="00946730" w:rsidRDefault="00BF7809" w:rsidP="0024614C">
      <w:pPr>
        <w:shd w:val="clear" w:color="auto" w:fill="FFFFFF"/>
        <w:jc w:val="both"/>
      </w:pPr>
      <w:r>
        <w:t xml:space="preserve">Pasūtītājs paskaidro, ka minētā iepirkuma veikšanai Pasūtītājs ir izvēlējies piemērot slēgtā konkursa procedūru, pamatojoties uz Publisko iepirkumu likuma 8.panta pirmās daļas 3.punktu. </w:t>
      </w:r>
      <w:r w:rsidRPr="00BF7809">
        <w:t>Slēgts konkurss ir iepirkuma procedūra, kurā visi ieinteresētie piegādātāji</w:t>
      </w:r>
      <w:r>
        <w:t>, kas atbilst slēgtā konkursa kvalifikācijas nosacījumiem</w:t>
      </w:r>
      <w:r w:rsidRPr="00BF7809">
        <w:t xml:space="preserve"> </w:t>
      </w:r>
      <w:r w:rsidRPr="00BF7809">
        <w:rPr>
          <w:bCs/>
        </w:rPr>
        <w:t>var</w:t>
      </w:r>
      <w:r w:rsidRPr="00BF7809">
        <w:t xml:space="preserve"> </w:t>
      </w:r>
      <w:r>
        <w:rPr>
          <w:bCs/>
        </w:rPr>
        <w:t>iesniegt pieteikumu</w:t>
      </w:r>
      <w:r w:rsidRPr="00BF7809">
        <w:t xml:space="preserve">, bet piedāvājumus var iesniegt tikai tie </w:t>
      </w:r>
      <w:r>
        <w:t xml:space="preserve">kandidāti, kuri atbildīs visiem slēgtā konkursa kvalifikācijas nosacījumiem. </w:t>
      </w:r>
      <w:r w:rsidRPr="00BF7809">
        <w:t xml:space="preserve">Līdz ar </w:t>
      </w:r>
      <w:r w:rsidR="00946730">
        <w:t xml:space="preserve">to </w:t>
      </w:r>
      <w:r w:rsidRPr="00BF7809">
        <w:t xml:space="preserve">kandidātu atlases nolikumā iepirkuma priekšmetu apraksts ir vispārīgs un tajā nav iekļautas konkrētas tehniskās specifikācijas un piegāžu apjomi. </w:t>
      </w:r>
    </w:p>
    <w:p w:rsidR="00BF7809" w:rsidRPr="00965F6F" w:rsidRDefault="00946730" w:rsidP="0024614C">
      <w:pPr>
        <w:shd w:val="clear" w:color="auto" w:fill="FFFFFF"/>
        <w:jc w:val="both"/>
        <w:rPr>
          <w:color w:val="222222"/>
          <w:shd w:val="clear" w:color="auto" w:fill="FFFFFF"/>
        </w:rPr>
      </w:pPr>
      <w:r>
        <w:t>Pasūtītājs norāda, ka s</w:t>
      </w:r>
      <w:r w:rsidR="00BF7809" w:rsidRPr="00BF7809">
        <w:t xml:space="preserve">lēgtā konkursa nolikuma </w:t>
      </w:r>
      <w:r w:rsidR="00035C5C">
        <w:t xml:space="preserve">3.pielikumā norādītie apjomi </w:t>
      </w:r>
      <w:r w:rsidR="00BF7809" w:rsidRPr="00BF7809">
        <w:t xml:space="preserve">un pozīciju sadalījums ir </w:t>
      </w:r>
      <w:r w:rsidR="0024614C">
        <w:t xml:space="preserve">indikatīvs, lai kandidātiem būtu priekšstats </w:t>
      </w:r>
      <w:r w:rsidR="00C16721">
        <w:t>nepieciešamajiem</w:t>
      </w:r>
      <w:r w:rsidR="0024614C">
        <w:t xml:space="preserve"> </w:t>
      </w:r>
      <w:r w:rsidR="00C16721">
        <w:t>resursiem</w:t>
      </w:r>
      <w:r w:rsidR="00BF7809">
        <w:t xml:space="preserve"> līgumsa</w:t>
      </w:r>
      <w:r w:rsidR="00C16721">
        <w:t>istību izpildei</w:t>
      </w:r>
      <w:r w:rsidR="00BF7809">
        <w:t>.</w:t>
      </w:r>
    </w:p>
    <w:p w:rsidR="00035C5C" w:rsidRPr="00965F6F" w:rsidRDefault="0024614C" w:rsidP="00035C5C">
      <w:pPr>
        <w:pStyle w:val="PlainTex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Vēršam uzmanību, ka </w:t>
      </w:r>
      <w:r w:rsidR="00035C5C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Pasūtītājs kandidātiem, </w:t>
      </w:r>
      <w:r w:rsidR="00035C5C"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kuri atbildīs visiem slēgtā konkursa kvalifikācijas nosacījumiem, nosūtīs uzaicinājumu iesniegt piedāvājumu. Uzaicinājumā būs konkrēti atrunāti piegāžu apjomi,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tehniskās prasības</w:t>
      </w:r>
      <w:r w:rsidR="00090243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tehniskie parametri</w:t>
      </w:r>
      <w:r w:rsidR="00035C5C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pozīciju</w:t>
      </w:r>
      <w:r w:rsidR="00035C5C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sadalījumi un līguma nosacījumi.</w:t>
      </w:r>
    </w:p>
    <w:p w:rsidR="00BF7809" w:rsidRPr="00965F6F" w:rsidRDefault="00035C5C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Vienlaikus Pasūtītājs norāda, ka </w:t>
      </w:r>
      <w:r w:rsidR="00090243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lēgtā konkursa nolikuma 3.pielikuma mēbeļu saraksta ailē „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t>apspriežu galdi, apmeklētāju galdi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” 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Pr="00965F6F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lv-LV"/>
        </w:rPr>
        <w:t xml:space="preserve">ieviesusies tehniska neprecizitāte,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plānotais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>skaits ir 57 nevis 57,5.</w:t>
      </w:r>
      <w:r w:rsidR="00090243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Tāpat norādām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ka galdi, kā arī pārējās mēbeles būs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izdalītas atsevišķās pozīcijās.</w:t>
      </w:r>
    </w:p>
    <w:p w:rsidR="00772CDD" w:rsidRPr="00965F6F" w:rsidRDefault="00772CDD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965F6F" w:rsidRPr="00965F6F" w:rsidRDefault="00965F6F" w:rsidP="00965F6F">
      <w:pPr>
        <w:shd w:val="clear" w:color="auto" w:fill="FFFFFF"/>
        <w:jc w:val="both"/>
        <w:rPr>
          <w:b/>
        </w:rPr>
      </w:pPr>
      <w:r w:rsidRPr="00965F6F">
        <w:rPr>
          <w:b/>
        </w:rPr>
        <w:t>Atbilde uz 3.jautājumu:</w:t>
      </w:r>
    </w:p>
    <w:p w:rsidR="000339ED" w:rsidRPr="00965F6F" w:rsidRDefault="001F0B6C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Pasūtītājs paskaidro, ka</w:t>
      </w:r>
      <w:r w:rsidR="000339ED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lai samazinātu savu risku un atvieglotu līgumu administrēšanu, tas nav plānojis slēgtā konkursa 2.daļas iepirkuma priekšmetu sadalīt sīkāk.</w:t>
      </w:r>
      <w:r w:rsidR="000339ED" w:rsidRPr="00965F6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 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>Pasūtītājs</w:t>
      </w:r>
      <w:r w:rsidR="000339ED"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norāda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0339ED"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ka tas pirms iepirkuma izsludināšanas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veicis tirgus izpēti un konstatējis </w:t>
      </w:r>
      <w:r w:rsidR="000339ED" w:rsidRPr="00965F6F">
        <w:rPr>
          <w:rFonts w:ascii="Times New Roman" w:hAnsi="Times New Roman" w:cs="Times New Roman"/>
          <w:sz w:val="24"/>
          <w:szCs w:val="24"/>
          <w:lang w:val="lv-LV"/>
        </w:rPr>
        <w:t>vairākus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potenciālos piegādātājus, kas spētu izpildīt</w:t>
      </w:r>
      <w:r w:rsidR="000339ED"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339ED"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2.daļas iepirkuma priekšmeta piegāžu nosacījumus. </w:t>
      </w:r>
      <w:r w:rsidR="000339ED"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Tāpat Pasūtītājs vērš uzmanību, ka slēgtā konkursa nosacījumi ieinteresētajiem piegādātājiem </w:t>
      </w:r>
      <w:r w:rsidR="00F76AA6" w:rsidRPr="00965F6F">
        <w:rPr>
          <w:rFonts w:ascii="Times New Roman" w:hAnsi="Times New Roman" w:cs="Times New Roman"/>
          <w:sz w:val="24"/>
          <w:szCs w:val="24"/>
          <w:lang w:val="lv-LV"/>
        </w:rPr>
        <w:t>neliedz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iespēj</w:t>
      </w:r>
      <w:r w:rsidR="00F76AA6" w:rsidRPr="00965F6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apvienoties piegādātāju apvienībā un iesniegt kopīgu </w:t>
      </w:r>
      <w:r w:rsidR="00C16721">
        <w:rPr>
          <w:rFonts w:ascii="Times New Roman" w:eastAsia="Calibri" w:hAnsi="Times New Roman" w:cs="Times New Roman"/>
          <w:sz w:val="24"/>
          <w:szCs w:val="24"/>
          <w:lang w:val="lv-LV"/>
        </w:rPr>
        <w:t>pieteikumu</w:t>
      </w:r>
      <w:r w:rsidR="000339ED" w:rsidRPr="00965F6F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F76AA6" w:rsidRPr="00965F6F" w:rsidRDefault="00F76AA6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65F6F" w:rsidRPr="00965F6F" w:rsidRDefault="00965F6F" w:rsidP="00965F6F">
      <w:pPr>
        <w:shd w:val="clear" w:color="auto" w:fill="FFFFFF"/>
        <w:jc w:val="both"/>
        <w:rPr>
          <w:b/>
        </w:rPr>
      </w:pPr>
      <w:r w:rsidRPr="00965F6F">
        <w:rPr>
          <w:b/>
        </w:rPr>
        <w:t>Atbilde uz 4.jautājumu:</w:t>
      </w:r>
    </w:p>
    <w:p w:rsidR="00F76AA6" w:rsidRPr="00965F6F" w:rsidRDefault="00F76AA6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Pasūtītājs paskaidro, ka jēdziens „grupu darba kapsulas” ir projekta arhitektu definēta mēbele, kas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veidota kā daļēji noslēgta kabīne ar iebūvētām mēbelēm, kurā 4-6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studenti var veikt patstāvīgus mācību procesa darbus grupā.</w:t>
      </w:r>
      <w:r w:rsidRPr="00965F6F">
        <w:rPr>
          <w:rFonts w:ascii="Times New Roman" w:hAnsi="Times New Roman" w:cs="Times New Roman"/>
          <w:sz w:val="24"/>
          <w:szCs w:val="24"/>
          <w:lang w:val="lv-LV"/>
        </w:rPr>
        <w:t xml:space="preserve"> Uzaicinājumā iesniegt piedāvājumu </w:t>
      </w:r>
      <w:r w:rsidRPr="00965F6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tiks norādītas kapsulas  vizuālās un tehniskās prasības.</w:t>
      </w:r>
    </w:p>
    <w:p w:rsidR="00F76AA6" w:rsidRPr="00965F6F" w:rsidRDefault="00F76AA6" w:rsidP="00CB0689">
      <w:pPr>
        <w:pStyle w:val="PlainTex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:rsidR="00965F6F" w:rsidRPr="00965F6F" w:rsidRDefault="00965F6F" w:rsidP="00965F6F">
      <w:pPr>
        <w:shd w:val="clear" w:color="auto" w:fill="FFFFFF"/>
        <w:jc w:val="both"/>
        <w:rPr>
          <w:b/>
        </w:rPr>
      </w:pPr>
      <w:r w:rsidRPr="00965F6F">
        <w:rPr>
          <w:b/>
        </w:rPr>
        <w:t>Atbilde uz 5.jautājumu:</w:t>
      </w:r>
    </w:p>
    <w:p w:rsidR="00F76AA6" w:rsidRPr="00965F6F" w:rsidRDefault="00F76AA6" w:rsidP="00F76AA6">
      <w:pPr>
        <w:shd w:val="clear" w:color="auto" w:fill="FFFFFF"/>
        <w:jc w:val="both"/>
        <w:rPr>
          <w:shd w:val="clear" w:color="auto" w:fill="FFFFFF"/>
        </w:rPr>
      </w:pPr>
      <w:r w:rsidRPr="00965F6F">
        <w:rPr>
          <w:shd w:val="clear" w:color="auto" w:fill="FFFFFF"/>
        </w:rPr>
        <w:t xml:space="preserve">Pasūtītājs </w:t>
      </w:r>
      <w:r w:rsidR="001B2624">
        <w:rPr>
          <w:shd w:val="clear" w:color="auto" w:fill="FFFFFF"/>
        </w:rPr>
        <w:t>norāda</w:t>
      </w:r>
      <w:r w:rsidRPr="00965F6F">
        <w:rPr>
          <w:shd w:val="clear" w:color="auto" w:fill="FFFFFF"/>
        </w:rPr>
        <w:t xml:space="preserve">, ka atbilstoši slēgtā konkursa nosacījumiem kandidāts savu pieredzi var apliecināt </w:t>
      </w:r>
      <w:r w:rsidR="00965F6F" w:rsidRPr="00965F6F">
        <w:rPr>
          <w:shd w:val="clear" w:color="auto" w:fill="FFFFFF"/>
        </w:rPr>
        <w:t>ar veiktajām piegādēm</w:t>
      </w:r>
      <w:r w:rsidR="00224229">
        <w:rPr>
          <w:shd w:val="clear" w:color="auto" w:fill="FFFFFF"/>
        </w:rPr>
        <w:t xml:space="preserve"> iepriekšējo trīs gadu periodā</w:t>
      </w:r>
      <w:bookmarkStart w:id="0" w:name="_GoBack"/>
      <w:bookmarkEnd w:id="0"/>
      <w:r w:rsidR="00965F6F" w:rsidRPr="00965F6F">
        <w:rPr>
          <w:shd w:val="clear" w:color="auto" w:fill="FFFFFF"/>
        </w:rPr>
        <w:t xml:space="preserve">, laika posmā no </w:t>
      </w:r>
      <w:r w:rsidR="001B2624">
        <w:rPr>
          <w:shd w:val="clear" w:color="auto" w:fill="FFFFFF"/>
        </w:rPr>
        <w:t>201</w:t>
      </w:r>
      <w:r w:rsidR="00581A27">
        <w:rPr>
          <w:shd w:val="clear" w:color="auto" w:fill="FFFFFF"/>
        </w:rPr>
        <w:t>1</w:t>
      </w:r>
      <w:r w:rsidR="001B2624">
        <w:rPr>
          <w:shd w:val="clear" w:color="auto" w:fill="FFFFFF"/>
        </w:rPr>
        <w:t>.</w:t>
      </w:r>
      <w:r w:rsidR="00965F6F" w:rsidRPr="00965F6F">
        <w:rPr>
          <w:shd w:val="clear" w:color="auto" w:fill="FFFFFF"/>
        </w:rPr>
        <w:t>gada līdz</w:t>
      </w:r>
      <w:r w:rsidRPr="00965F6F">
        <w:rPr>
          <w:shd w:val="clear" w:color="auto" w:fill="FFFFFF"/>
        </w:rPr>
        <w:t xml:space="preserve"> pieteikuma iesniegšanas brīdim.</w:t>
      </w:r>
    </w:p>
    <w:p w:rsidR="00F76AA6" w:rsidRPr="00F76AA6" w:rsidRDefault="00F76AA6" w:rsidP="00CB0689">
      <w:pPr>
        <w:pStyle w:val="PlainText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1F0B6C" w:rsidRPr="00772CDD" w:rsidRDefault="001F0B6C" w:rsidP="001F0B6C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sectPr w:rsidR="001F0B6C" w:rsidRPr="00772CDD" w:rsidSect="002668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691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720"/>
        </w:tabs>
        <w:ind w:left="720" w:firstLine="0"/>
      </w:pPr>
      <w:rPr>
        <w:rFonts w:ascii="Times New Roman" w:hAnsi="Times New Roman"/>
        <w:b w:val="0"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3185B3C"/>
    <w:multiLevelType w:val="hybridMultilevel"/>
    <w:tmpl w:val="2EB8A84E"/>
    <w:lvl w:ilvl="0" w:tplc="56EA9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43C9E"/>
    <w:multiLevelType w:val="multilevel"/>
    <w:tmpl w:val="603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711966"/>
    <w:multiLevelType w:val="hybridMultilevel"/>
    <w:tmpl w:val="AED8FFAC"/>
    <w:lvl w:ilvl="0" w:tplc="71763D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6542B"/>
    <w:multiLevelType w:val="multilevel"/>
    <w:tmpl w:val="565C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944AC3"/>
    <w:multiLevelType w:val="multilevel"/>
    <w:tmpl w:val="99ACE0E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o">
    <w15:presenceInfo w15:providerId="None" w15:userId="Ne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7232B"/>
    <w:rsid w:val="000339ED"/>
    <w:rsid w:val="00035C5C"/>
    <w:rsid w:val="000804BE"/>
    <w:rsid w:val="00084261"/>
    <w:rsid w:val="00090243"/>
    <w:rsid w:val="000C0656"/>
    <w:rsid w:val="000F4906"/>
    <w:rsid w:val="00103887"/>
    <w:rsid w:val="00134729"/>
    <w:rsid w:val="001B2624"/>
    <w:rsid w:val="001F0B6C"/>
    <w:rsid w:val="00224229"/>
    <w:rsid w:val="0024614C"/>
    <w:rsid w:val="00266854"/>
    <w:rsid w:val="00267479"/>
    <w:rsid w:val="00273300"/>
    <w:rsid w:val="00294353"/>
    <w:rsid w:val="002D1337"/>
    <w:rsid w:val="002F130D"/>
    <w:rsid w:val="002F1A49"/>
    <w:rsid w:val="00327BAE"/>
    <w:rsid w:val="003302B7"/>
    <w:rsid w:val="00343171"/>
    <w:rsid w:val="00391817"/>
    <w:rsid w:val="00397724"/>
    <w:rsid w:val="003C6CCA"/>
    <w:rsid w:val="00473B74"/>
    <w:rsid w:val="004741E5"/>
    <w:rsid w:val="004769F7"/>
    <w:rsid w:val="00503AB5"/>
    <w:rsid w:val="00547735"/>
    <w:rsid w:val="00581A27"/>
    <w:rsid w:val="0058682F"/>
    <w:rsid w:val="005C3EE5"/>
    <w:rsid w:val="005E20F8"/>
    <w:rsid w:val="005F6B18"/>
    <w:rsid w:val="006543E3"/>
    <w:rsid w:val="006B63E0"/>
    <w:rsid w:val="006C42FB"/>
    <w:rsid w:val="006E3E9A"/>
    <w:rsid w:val="00757AB4"/>
    <w:rsid w:val="00772CDD"/>
    <w:rsid w:val="00811C63"/>
    <w:rsid w:val="008472FC"/>
    <w:rsid w:val="00881C7F"/>
    <w:rsid w:val="00883FC2"/>
    <w:rsid w:val="008B7FCD"/>
    <w:rsid w:val="00946730"/>
    <w:rsid w:val="00965F6F"/>
    <w:rsid w:val="0097232B"/>
    <w:rsid w:val="009A67A5"/>
    <w:rsid w:val="009B4278"/>
    <w:rsid w:val="009E356E"/>
    <w:rsid w:val="009E37F9"/>
    <w:rsid w:val="00B15AD4"/>
    <w:rsid w:val="00B601BE"/>
    <w:rsid w:val="00B86026"/>
    <w:rsid w:val="00B96B5C"/>
    <w:rsid w:val="00BA5E09"/>
    <w:rsid w:val="00BF7809"/>
    <w:rsid w:val="00C16721"/>
    <w:rsid w:val="00C5091D"/>
    <w:rsid w:val="00CB0689"/>
    <w:rsid w:val="00D03CB6"/>
    <w:rsid w:val="00D26D11"/>
    <w:rsid w:val="00D504C5"/>
    <w:rsid w:val="00D75DEB"/>
    <w:rsid w:val="00E13091"/>
    <w:rsid w:val="00E57650"/>
    <w:rsid w:val="00EA51DD"/>
    <w:rsid w:val="00EF1BE7"/>
    <w:rsid w:val="00F76AA6"/>
    <w:rsid w:val="00F8169E"/>
    <w:rsid w:val="00FF07EE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7232B"/>
    <w:pPr>
      <w:keepNext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232B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7232B"/>
    <w:pPr>
      <w:ind w:left="720"/>
      <w:contextualSpacing/>
    </w:pPr>
    <w:rPr>
      <w:lang w:eastAsia="en-US"/>
    </w:rPr>
  </w:style>
  <w:style w:type="paragraph" w:styleId="HTMLPreformatted">
    <w:name w:val="HTML Preformatted"/>
    <w:basedOn w:val="Normal"/>
    <w:link w:val="HTMLPreformattedChar"/>
    <w:rsid w:val="0097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7232B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h3body1">
    <w:name w:val="h3_body_1"/>
    <w:autoRedefine/>
    <w:uiPriority w:val="99"/>
    <w:qFormat/>
    <w:rsid w:val="00B86026"/>
    <w:pPr>
      <w:numPr>
        <w:ilvl w:val="1"/>
        <w:numId w:val="4"/>
      </w:numPr>
      <w:spacing w:after="0" w:line="240" w:lineRule="auto"/>
      <w:ind w:hanging="578"/>
      <w:jc w:val="both"/>
    </w:pPr>
    <w:rPr>
      <w:rFonts w:ascii="Times New Roman" w:eastAsia="Times New Roman" w:hAnsi="Times New Roman" w:cs="Times New Roman"/>
      <w:bCs/>
      <w:sz w:val="24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B96B5C"/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96B5C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5E20F8"/>
  </w:style>
  <w:style w:type="character" w:styleId="Hyperlink">
    <w:name w:val="Hyperlink"/>
    <w:basedOn w:val="DefaultParagraphFont"/>
    <w:uiPriority w:val="99"/>
    <w:semiHidden/>
    <w:unhideWhenUsed/>
    <w:rsid w:val="005E20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03AB5"/>
    <w:rPr>
      <w:i/>
      <w:iCs/>
    </w:rPr>
  </w:style>
  <w:style w:type="paragraph" w:styleId="NormalWeb">
    <w:name w:val="Normal (Web)"/>
    <w:basedOn w:val="Normal"/>
    <w:rsid w:val="00BF7809"/>
    <w:pPr>
      <w:spacing w:before="100"/>
    </w:pPr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A2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A2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A27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 Orols</dc:creator>
  <cp:lastModifiedBy>Normunds Orols</cp:lastModifiedBy>
  <cp:revision>2</cp:revision>
  <dcterms:created xsi:type="dcterms:W3CDTF">2015-01-27T09:14:00Z</dcterms:created>
  <dcterms:modified xsi:type="dcterms:W3CDTF">2015-01-27T09:14:00Z</dcterms:modified>
</cp:coreProperties>
</file>