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950" w:rsidRPr="007A4DB5" w:rsidRDefault="006E3950" w:rsidP="00F77BA3">
      <w:pPr>
        <w:tabs>
          <w:tab w:val="center" w:pos="4535"/>
          <w:tab w:val="left" w:pos="5625"/>
        </w:tabs>
        <w:spacing w:before="240" w:line="264" w:lineRule="auto"/>
        <w:jc w:val="center"/>
        <w:rPr>
          <w:rFonts w:ascii="Times New Roman" w:hAnsi="Times New Roman"/>
          <w:b/>
        </w:rPr>
      </w:pPr>
      <w:r w:rsidRPr="007A4DB5">
        <w:rPr>
          <w:rFonts w:ascii="Times New Roman" w:hAnsi="Times New Roman"/>
          <w:b/>
        </w:rPr>
        <w:t>LĒMUMS</w:t>
      </w:r>
    </w:p>
    <w:p w:rsidR="006E3950" w:rsidRPr="007A4DB5" w:rsidRDefault="006E3950" w:rsidP="008650B4">
      <w:pPr>
        <w:spacing w:line="264" w:lineRule="auto"/>
        <w:jc w:val="center"/>
        <w:rPr>
          <w:rFonts w:ascii="Times New Roman" w:hAnsi="Times New Roman"/>
        </w:rPr>
      </w:pPr>
      <w:r w:rsidRPr="007A4DB5">
        <w:rPr>
          <w:rFonts w:ascii="Times New Roman" w:hAnsi="Times New Roman"/>
          <w:b/>
        </w:rPr>
        <w:t>p</w:t>
      </w:r>
      <w:r w:rsidRPr="007A4DB5">
        <w:rPr>
          <w:rFonts w:ascii="Times New Roman" w:hAnsi="Times New Roman"/>
          <w:b/>
          <w:bCs/>
        </w:rPr>
        <w:t>ar rezultātiem</w:t>
      </w:r>
    </w:p>
    <w:p w:rsidR="006E3950" w:rsidRPr="007A4DB5" w:rsidRDefault="006E3950" w:rsidP="008650B4">
      <w:pPr>
        <w:tabs>
          <w:tab w:val="left" w:pos="480"/>
          <w:tab w:val="center" w:pos="4535"/>
        </w:tabs>
        <w:spacing w:line="264" w:lineRule="auto"/>
        <w:jc w:val="center"/>
        <w:rPr>
          <w:rFonts w:ascii="Times New Roman" w:hAnsi="Times New Roman"/>
        </w:rPr>
      </w:pPr>
      <w:r w:rsidRPr="007A4DB5">
        <w:rPr>
          <w:rFonts w:ascii="Times New Roman" w:hAnsi="Times New Roman"/>
        </w:rPr>
        <w:t>Publisko iepirkumu likuma 9. panta kārtībā veiktajā iepirkumā</w:t>
      </w:r>
    </w:p>
    <w:p w:rsidR="006E3950" w:rsidRPr="007A4DB5" w:rsidRDefault="006E3950" w:rsidP="00F77BA3">
      <w:pPr>
        <w:pStyle w:val="BodyTextIndent"/>
        <w:spacing w:after="0" w:line="264" w:lineRule="auto"/>
        <w:ind w:left="0"/>
        <w:jc w:val="center"/>
        <w:rPr>
          <w:rFonts w:ascii="Times New Roman" w:hAnsi="Times New Roman"/>
          <w:b/>
        </w:rPr>
      </w:pPr>
      <w:r w:rsidRPr="007A4DB5">
        <w:rPr>
          <w:rFonts w:ascii="Times New Roman" w:hAnsi="Times New Roman"/>
          <w:b/>
          <w:bCs/>
          <w:iCs/>
          <w:lang w:eastAsia="lv-LV"/>
        </w:rPr>
        <w:t>“</w:t>
      </w:r>
      <w:r w:rsidR="005D5285" w:rsidRPr="007A4DB5">
        <w:rPr>
          <w:rFonts w:ascii="Times New Roman" w:hAnsi="Times New Roman"/>
          <w:b/>
        </w:rPr>
        <w:t>Darba apģērbu, apavu un aksesuāru piegāde</w:t>
      </w:r>
      <w:r w:rsidRPr="007A4DB5">
        <w:rPr>
          <w:rFonts w:ascii="Times New Roman" w:hAnsi="Times New Roman"/>
          <w:b/>
        </w:rPr>
        <w:t>”</w:t>
      </w:r>
    </w:p>
    <w:p w:rsidR="006E3950" w:rsidRPr="007A4DB5" w:rsidRDefault="006E3950" w:rsidP="00F77BA3">
      <w:pPr>
        <w:pStyle w:val="BodyTextIndent"/>
        <w:spacing w:after="0" w:line="264" w:lineRule="auto"/>
        <w:ind w:left="0"/>
        <w:jc w:val="center"/>
        <w:rPr>
          <w:rFonts w:ascii="Times New Roman" w:hAnsi="Times New Roman"/>
          <w:b/>
        </w:rPr>
      </w:pPr>
      <w:r w:rsidRPr="007A4DB5">
        <w:rPr>
          <w:rFonts w:ascii="Times New Roman" w:hAnsi="Times New Roman"/>
          <w:b/>
        </w:rPr>
        <w:t>(turpmāk – Iepirkums)</w:t>
      </w:r>
    </w:p>
    <w:p w:rsidR="006E3950" w:rsidRPr="007A4DB5" w:rsidRDefault="006E3950" w:rsidP="00F77BA3">
      <w:pPr>
        <w:pStyle w:val="BodyTextIndent"/>
        <w:spacing w:after="240" w:line="264" w:lineRule="auto"/>
        <w:ind w:left="0"/>
        <w:jc w:val="center"/>
        <w:rPr>
          <w:rFonts w:ascii="Times New Roman" w:hAnsi="Times New Roman"/>
          <w:b/>
          <w:bCs/>
        </w:rPr>
      </w:pPr>
      <w:r w:rsidRPr="007A4DB5">
        <w:rPr>
          <w:rFonts w:ascii="Times New Roman" w:hAnsi="Times New Roman"/>
          <w:b/>
        </w:rPr>
        <w:t>Iepirkum</w:t>
      </w:r>
      <w:r w:rsidR="00F2141C" w:rsidRPr="007A4DB5">
        <w:rPr>
          <w:rFonts w:ascii="Times New Roman" w:hAnsi="Times New Roman"/>
          <w:b/>
        </w:rPr>
        <w:t>a</w:t>
      </w:r>
      <w:r w:rsidR="005D5285" w:rsidRPr="007A4DB5">
        <w:rPr>
          <w:rFonts w:ascii="Times New Roman" w:hAnsi="Times New Roman"/>
          <w:b/>
        </w:rPr>
        <w:t xml:space="preserve"> identifikācijas Nr.: LU 2018/11</w:t>
      </w:r>
      <w:r w:rsidRPr="007A4DB5">
        <w:rPr>
          <w:rFonts w:ascii="Times New Roman" w:hAnsi="Times New Roman"/>
          <w:b/>
        </w:rPr>
        <w:t>_I</w:t>
      </w:r>
    </w:p>
    <w:p w:rsidR="006E3950" w:rsidRPr="007A4DB5" w:rsidRDefault="00F2141C" w:rsidP="00F77BA3">
      <w:pPr>
        <w:spacing w:after="120" w:line="264" w:lineRule="auto"/>
        <w:jc w:val="both"/>
        <w:rPr>
          <w:rFonts w:ascii="Times New Roman" w:hAnsi="Times New Roman"/>
          <w:b/>
          <w:bCs/>
        </w:rPr>
      </w:pPr>
      <w:r w:rsidRPr="007A4DB5">
        <w:rPr>
          <w:rFonts w:ascii="Times New Roman" w:hAnsi="Times New Roman"/>
          <w:b/>
          <w:bCs/>
        </w:rPr>
        <w:t>Rīgā</w:t>
      </w:r>
      <w:r w:rsidR="006E3950" w:rsidRPr="007A4DB5">
        <w:rPr>
          <w:rFonts w:ascii="Times New Roman" w:hAnsi="Times New Roman"/>
          <w:b/>
          <w:bCs/>
        </w:rPr>
        <w:t xml:space="preserve"> 2018. gada </w:t>
      </w:r>
      <w:r w:rsidR="005D5285" w:rsidRPr="007A4DB5">
        <w:rPr>
          <w:rFonts w:ascii="Times New Roman" w:hAnsi="Times New Roman"/>
          <w:b/>
          <w:bCs/>
        </w:rPr>
        <w:t>31.maijā</w:t>
      </w:r>
    </w:p>
    <w:p w:rsidR="006D4426" w:rsidRPr="007A4DB5"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7A4DB5">
        <w:rPr>
          <w:rFonts w:ascii="Times New Roman" w:eastAsia="Times New Roman" w:hAnsi="Times New Roman"/>
          <w:b/>
          <w:lang w:eastAsia="lv-LV"/>
        </w:rPr>
        <w:t>Pasūtītājs</w:t>
      </w:r>
      <w:r w:rsidRPr="007A4DB5">
        <w:rPr>
          <w:rFonts w:ascii="Times New Roman" w:eastAsia="Times New Roman" w:hAnsi="Times New Roman"/>
          <w:bCs/>
          <w:lang w:eastAsia="lv-LV"/>
        </w:rPr>
        <w:t xml:space="preserve">: </w:t>
      </w:r>
      <w:r w:rsidRPr="007A4DB5">
        <w:rPr>
          <w:rFonts w:ascii="Times New Roman" w:eastAsia="Times New Roman" w:hAnsi="Times New Roman"/>
          <w:lang w:eastAsia="lv-LV"/>
        </w:rPr>
        <w:t xml:space="preserve">Latvijas Universitāte, izglītības iestādes reģistrācijas Nr. </w:t>
      </w:r>
      <w:r w:rsidRPr="007A4DB5">
        <w:rPr>
          <w:rFonts w:ascii="Times New Roman" w:hAnsi="Times New Roman"/>
        </w:rPr>
        <w:t>3341000218</w:t>
      </w:r>
      <w:r w:rsidRPr="007A4DB5">
        <w:rPr>
          <w:rFonts w:ascii="Times New Roman" w:eastAsia="Times New Roman" w:hAnsi="Times New Roman"/>
          <w:lang w:eastAsia="lv-LV"/>
        </w:rPr>
        <w:t xml:space="preserve">, juridiskā adrese: </w:t>
      </w:r>
      <w:r w:rsidRPr="007A4DB5">
        <w:rPr>
          <w:rFonts w:ascii="Times New Roman" w:eastAsia="Times New Roman" w:hAnsi="Times New Roman"/>
        </w:rPr>
        <w:t>Raiņa bulvāris 19, Rīga, LV-1586.</w:t>
      </w:r>
    </w:p>
    <w:p w:rsidR="006D4426" w:rsidRPr="007A4DB5"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7A4DB5">
        <w:rPr>
          <w:rFonts w:ascii="Times New Roman" w:eastAsia="Times New Roman" w:hAnsi="Times New Roman"/>
          <w:b/>
          <w:bCs/>
          <w:lang w:eastAsia="lv-LV"/>
        </w:rPr>
        <w:t xml:space="preserve">Iepirkuma komisija: </w:t>
      </w:r>
      <w:r w:rsidRPr="007A4DB5">
        <w:rPr>
          <w:rFonts w:ascii="Times New Roman" w:hAnsi="Times New Roman"/>
        </w:rPr>
        <w:t xml:space="preserve">ar Latvijas Universitātes 2017.gada 13.oktobra rīkojumu Nr.1/319 “Par Latvijas Universitātes iepirkumu komisiju sastāviem” izveidota Latvijas Universitātes Centralizēto iepirkumu komisija (turpmāk – </w:t>
      </w:r>
      <w:r w:rsidRPr="007A4DB5">
        <w:rPr>
          <w:rFonts w:ascii="Times New Roman" w:hAnsi="Times New Roman"/>
          <w:b/>
        </w:rPr>
        <w:t>Komisija</w:t>
      </w:r>
      <w:r w:rsidRPr="007A4DB5">
        <w:rPr>
          <w:rFonts w:ascii="Times New Roman" w:hAnsi="Times New Roman"/>
        </w:rPr>
        <w:t>).</w:t>
      </w:r>
    </w:p>
    <w:p w:rsidR="006D4426" w:rsidRPr="007A4DB5"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7A4DB5">
        <w:rPr>
          <w:rFonts w:ascii="Times New Roman" w:eastAsia="Times New Roman" w:hAnsi="Times New Roman"/>
          <w:b/>
          <w:bCs/>
          <w:lang w:eastAsia="lv-LV"/>
        </w:rPr>
        <w:t xml:space="preserve">Iepirkuma priekšmets: </w:t>
      </w:r>
      <w:r w:rsidR="005D5285" w:rsidRPr="007A4DB5">
        <w:rPr>
          <w:rFonts w:ascii="Times New Roman" w:hAnsi="Times New Roman"/>
        </w:rPr>
        <w:t>Darba apģērbu, apavu un aksesuāru piegāde</w:t>
      </w:r>
      <w:r w:rsidR="00154E35" w:rsidRPr="007A4DB5">
        <w:rPr>
          <w:rFonts w:ascii="Times New Roman" w:hAnsi="Times New Roman"/>
        </w:rPr>
        <w:t xml:space="preserve"> saskaņā ar tehnisko specifikāciju (Iepirkuma nolikuma 2.pielikums).</w:t>
      </w:r>
    </w:p>
    <w:p w:rsidR="006D4426" w:rsidRPr="007A4DB5"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7A4DB5">
        <w:rPr>
          <w:rFonts w:ascii="Times New Roman" w:hAnsi="Times New Roman"/>
          <w:b/>
          <w:bCs/>
        </w:rPr>
        <w:t xml:space="preserve">CPV kods: </w:t>
      </w:r>
      <w:r w:rsidR="005D5285" w:rsidRPr="007A4DB5">
        <w:rPr>
          <w:rFonts w:ascii="Times New Roman" w:hAnsi="Times New Roman"/>
          <w:b/>
          <w:bCs/>
        </w:rPr>
        <w:t>18100000-0 (Profesionālie apģērbi, speciālie darba apģērbi un aksesuāri).</w:t>
      </w:r>
    </w:p>
    <w:p w:rsidR="006D4426" w:rsidRPr="007A4DB5"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r w:rsidRPr="007A4DB5">
        <w:rPr>
          <w:rFonts w:ascii="Times New Roman" w:eastAsia="Times New Roman" w:hAnsi="Times New Roman"/>
          <w:b/>
          <w:bCs/>
          <w:lang w:eastAsia="lv-LV"/>
        </w:rPr>
        <w:t>Piedāvājuma izvēles kritērijs:</w:t>
      </w:r>
      <w:r w:rsidRPr="007A4DB5">
        <w:rPr>
          <w:rFonts w:ascii="Times New Roman" w:eastAsia="Times New Roman" w:hAnsi="Times New Roman"/>
          <w:bCs/>
          <w:lang w:eastAsia="lv-LV"/>
        </w:rPr>
        <w:t xml:space="preserve"> </w:t>
      </w:r>
      <w:r w:rsidR="00F2141C" w:rsidRPr="007A4DB5">
        <w:rPr>
          <w:rFonts w:ascii="Times New Roman" w:eastAsia="Times New Roman" w:hAnsi="Times New Roman"/>
          <w:bCs/>
          <w:lang w:eastAsia="lv-LV"/>
        </w:rPr>
        <w:t xml:space="preserve">Iepirkuma nolikuma prasībām atbilstošs </w:t>
      </w:r>
      <w:r w:rsidRPr="007A4DB5">
        <w:rPr>
          <w:rFonts w:ascii="Times New Roman" w:hAnsi="Times New Roman"/>
        </w:rPr>
        <w:t>saimnieciski visizdevīgākais piedāvājums, kuru n</w:t>
      </w:r>
      <w:r w:rsidR="00F2141C" w:rsidRPr="007A4DB5">
        <w:rPr>
          <w:rFonts w:ascii="Times New Roman" w:hAnsi="Times New Roman"/>
        </w:rPr>
        <w:t>osaka ņemot vērā viszemāko cenu (EUR bez PVN).</w:t>
      </w:r>
    </w:p>
    <w:p w:rsidR="006D4426" w:rsidRPr="007A4DB5" w:rsidRDefault="006E3950" w:rsidP="00F77BA3">
      <w:pPr>
        <w:pStyle w:val="ListParagraph"/>
        <w:numPr>
          <w:ilvl w:val="0"/>
          <w:numId w:val="3"/>
        </w:numPr>
        <w:spacing w:line="264" w:lineRule="auto"/>
        <w:ind w:left="340" w:hanging="340"/>
        <w:jc w:val="both"/>
        <w:rPr>
          <w:rFonts w:ascii="Times New Roman" w:eastAsia="Times New Roman" w:hAnsi="Times New Roman"/>
          <w:bCs/>
          <w:lang w:eastAsia="lv-LV"/>
        </w:rPr>
      </w:pPr>
      <w:smartTag w:uri="schemas-tilde-lv/tildestengine" w:element="phone">
        <w:smartTagPr>
          <w:attr w:name="baseform" w:val="Paziņojums"/>
          <w:attr w:name="id" w:val="-1"/>
          <w:attr w:name="text" w:val="Paziņojums"/>
        </w:smartTagPr>
        <w:r w:rsidRPr="007A4DB5">
          <w:rPr>
            <w:rFonts w:ascii="Times New Roman" w:eastAsia="Times New Roman" w:hAnsi="Times New Roman"/>
            <w:b/>
            <w:bCs/>
            <w:lang w:eastAsia="lv-LV"/>
          </w:rPr>
          <w:t>Paziņojums</w:t>
        </w:r>
      </w:smartTag>
      <w:r w:rsidRPr="007A4DB5">
        <w:rPr>
          <w:rFonts w:ascii="Times New Roman" w:eastAsia="Times New Roman" w:hAnsi="Times New Roman"/>
          <w:b/>
          <w:bCs/>
          <w:lang w:eastAsia="lv-LV"/>
        </w:rPr>
        <w:t xml:space="preserve"> par plānoto </w:t>
      </w:r>
      <w:smartTag w:uri="schemas-tilde-lv/tildestengine" w:element="phone">
        <w:smartTagPr>
          <w:attr w:name="baseform" w:val="līgum|s"/>
          <w:attr w:name="id" w:val="-1"/>
          <w:attr w:name="text" w:val="līgumu"/>
        </w:smartTagPr>
        <w:r w:rsidRPr="007A4DB5">
          <w:rPr>
            <w:rFonts w:ascii="Times New Roman" w:eastAsia="Times New Roman" w:hAnsi="Times New Roman"/>
            <w:b/>
            <w:bCs/>
            <w:lang w:eastAsia="lv-LV"/>
          </w:rPr>
          <w:t>līgumu</w:t>
        </w:r>
      </w:smartTag>
      <w:r w:rsidRPr="007A4DB5">
        <w:rPr>
          <w:rFonts w:ascii="Times New Roman" w:eastAsia="Times New Roman" w:hAnsi="Times New Roman"/>
          <w:b/>
          <w:bCs/>
          <w:lang w:eastAsia="lv-LV"/>
        </w:rPr>
        <w:t xml:space="preserve"> publicēts Iepirkumu uzraudzības biroja mājaslapā (</w:t>
      </w:r>
      <w:hyperlink r:id="rId7" w:history="1">
        <w:r w:rsidRPr="007A4DB5">
          <w:rPr>
            <w:rFonts w:ascii="Times New Roman" w:eastAsia="Times New Roman" w:hAnsi="Times New Roman"/>
            <w:b/>
            <w:bCs/>
            <w:lang w:eastAsia="lv-LV"/>
          </w:rPr>
          <w:t>www.iub.gov.lv</w:t>
        </w:r>
      </w:hyperlink>
      <w:r w:rsidRPr="007A4DB5">
        <w:rPr>
          <w:rFonts w:ascii="Times New Roman" w:eastAsia="Times New Roman" w:hAnsi="Times New Roman"/>
          <w:b/>
          <w:bCs/>
          <w:lang w:eastAsia="lv-LV"/>
        </w:rPr>
        <w:t xml:space="preserve">): </w:t>
      </w:r>
      <w:r w:rsidRPr="007A4DB5">
        <w:rPr>
          <w:rFonts w:ascii="Times New Roman" w:eastAsia="Times New Roman" w:hAnsi="Times New Roman"/>
          <w:bCs/>
          <w:lang w:eastAsia="lv-LV"/>
        </w:rPr>
        <w:t>2018</w:t>
      </w:r>
      <w:r w:rsidR="005D5285" w:rsidRPr="007A4DB5">
        <w:rPr>
          <w:rFonts w:ascii="Times New Roman" w:eastAsia="Times New Roman" w:hAnsi="Times New Roman"/>
          <w:bCs/>
          <w:lang w:eastAsia="lv-LV"/>
        </w:rPr>
        <w:t>. gada 8</w:t>
      </w:r>
      <w:r w:rsidRPr="007A4DB5">
        <w:rPr>
          <w:rFonts w:ascii="Times New Roman" w:eastAsia="Times New Roman" w:hAnsi="Times New Roman"/>
          <w:bCs/>
          <w:lang w:eastAsia="lv-LV"/>
        </w:rPr>
        <w:t>.</w:t>
      </w:r>
      <w:r w:rsidR="005D5285" w:rsidRPr="007A4DB5">
        <w:rPr>
          <w:rFonts w:ascii="Times New Roman" w:eastAsia="Times New Roman" w:hAnsi="Times New Roman"/>
          <w:bCs/>
          <w:lang w:eastAsia="lv-LV"/>
        </w:rPr>
        <w:t>maijā.</w:t>
      </w:r>
    </w:p>
    <w:p w:rsidR="006E3950" w:rsidRPr="007A4DB5" w:rsidRDefault="006E3950" w:rsidP="00F77BA3">
      <w:pPr>
        <w:pStyle w:val="ListParagraph"/>
        <w:numPr>
          <w:ilvl w:val="0"/>
          <w:numId w:val="3"/>
        </w:numPr>
        <w:spacing w:after="120" w:line="264" w:lineRule="auto"/>
        <w:ind w:left="340" w:hanging="340"/>
        <w:jc w:val="both"/>
        <w:rPr>
          <w:rFonts w:ascii="Times New Roman" w:eastAsia="Times New Roman" w:hAnsi="Times New Roman"/>
          <w:bCs/>
          <w:lang w:eastAsia="lv-LV"/>
        </w:rPr>
      </w:pPr>
      <w:r w:rsidRPr="007A4DB5">
        <w:rPr>
          <w:rFonts w:ascii="Times New Roman" w:eastAsia="Times New Roman" w:hAnsi="Times New Roman"/>
          <w:b/>
          <w:bCs/>
          <w:lang w:eastAsia="lv-LV"/>
        </w:rPr>
        <w:t>Pretendenti, kuri līdz 2018.</w:t>
      </w:r>
      <w:r w:rsidR="005D5285" w:rsidRPr="007A4DB5">
        <w:rPr>
          <w:rFonts w:ascii="Times New Roman" w:eastAsia="Times New Roman" w:hAnsi="Times New Roman"/>
          <w:b/>
          <w:bCs/>
          <w:lang w:eastAsia="lv-LV"/>
        </w:rPr>
        <w:t>gada 21.maija</w:t>
      </w:r>
      <w:r w:rsidRPr="007A4DB5">
        <w:rPr>
          <w:rFonts w:ascii="Times New Roman" w:eastAsia="Times New Roman" w:hAnsi="Times New Roman"/>
          <w:b/>
          <w:bCs/>
          <w:lang w:eastAsia="lv-LV"/>
        </w:rPr>
        <w:t>, plkst.11:00 iesniedza piedāvājumus: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2410"/>
        <w:gridCol w:w="2409"/>
      </w:tblGrid>
      <w:tr w:rsidR="007A4DB5" w:rsidRPr="007A4DB5" w:rsidTr="00A31E6A">
        <w:tc>
          <w:tcPr>
            <w:tcW w:w="709" w:type="dxa"/>
            <w:shd w:val="clear" w:color="auto" w:fill="auto"/>
            <w:vAlign w:val="center"/>
          </w:tcPr>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Nr. p.k.</w:t>
            </w:r>
          </w:p>
        </w:tc>
        <w:tc>
          <w:tcPr>
            <w:tcW w:w="3544" w:type="dxa"/>
            <w:shd w:val="clear" w:color="auto" w:fill="auto"/>
            <w:vAlign w:val="center"/>
          </w:tcPr>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Pretendenta nosaukums</w:t>
            </w:r>
          </w:p>
        </w:tc>
        <w:tc>
          <w:tcPr>
            <w:tcW w:w="2410" w:type="dxa"/>
            <w:shd w:val="clear" w:color="auto" w:fill="auto"/>
            <w:vAlign w:val="center"/>
          </w:tcPr>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Piedāvājumu iesniegšanas laiks</w:t>
            </w:r>
          </w:p>
        </w:tc>
        <w:tc>
          <w:tcPr>
            <w:tcW w:w="2409" w:type="dxa"/>
            <w:vAlign w:val="center"/>
          </w:tcPr>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Daļa, kurā iesniegts piedāvājums</w:t>
            </w:r>
          </w:p>
        </w:tc>
      </w:tr>
      <w:tr w:rsidR="007A4DB5" w:rsidRPr="007A4DB5" w:rsidTr="00A31E6A">
        <w:trPr>
          <w:trHeight w:val="340"/>
        </w:trPr>
        <w:tc>
          <w:tcPr>
            <w:tcW w:w="709" w:type="dxa"/>
            <w:vMerge w:val="restart"/>
            <w:shd w:val="clear" w:color="auto" w:fill="auto"/>
            <w:vAlign w:val="center"/>
          </w:tcPr>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1.</w:t>
            </w:r>
          </w:p>
        </w:tc>
        <w:tc>
          <w:tcPr>
            <w:tcW w:w="3544" w:type="dxa"/>
            <w:vMerge w:val="restart"/>
            <w:shd w:val="clear" w:color="auto" w:fill="auto"/>
            <w:vAlign w:val="center"/>
          </w:tcPr>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SIA “</w:t>
            </w:r>
            <w:proofErr w:type="spellStart"/>
            <w:r w:rsidRPr="007A4DB5">
              <w:rPr>
                <w:rFonts w:ascii="Times New Roman" w:eastAsia="BatangChe" w:hAnsi="Times New Roman"/>
                <w:b/>
              </w:rPr>
              <w:t>Prāna</w:t>
            </w:r>
            <w:proofErr w:type="spellEnd"/>
            <w:r w:rsidRPr="007A4DB5">
              <w:rPr>
                <w:rFonts w:ascii="Times New Roman" w:eastAsia="BatangChe" w:hAnsi="Times New Roman"/>
                <w:b/>
              </w:rPr>
              <w:t xml:space="preserve"> Ko”,</w:t>
            </w:r>
          </w:p>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reģ. Nr.40003277283</w:t>
            </w:r>
          </w:p>
        </w:tc>
        <w:tc>
          <w:tcPr>
            <w:tcW w:w="2410" w:type="dxa"/>
            <w:vMerge w:val="restart"/>
            <w:shd w:val="clear" w:color="auto" w:fill="auto"/>
            <w:vAlign w:val="center"/>
          </w:tcPr>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21.05.2018.</w:t>
            </w:r>
          </w:p>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plkst.10:04</w:t>
            </w:r>
          </w:p>
        </w:tc>
        <w:tc>
          <w:tcPr>
            <w:tcW w:w="2409" w:type="dxa"/>
            <w:vAlign w:val="center"/>
          </w:tcPr>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2.daļa</w:t>
            </w:r>
          </w:p>
        </w:tc>
      </w:tr>
      <w:tr w:rsidR="007A4DB5" w:rsidRPr="007A4DB5" w:rsidTr="00A31E6A">
        <w:trPr>
          <w:trHeight w:val="315"/>
        </w:trPr>
        <w:tc>
          <w:tcPr>
            <w:tcW w:w="709" w:type="dxa"/>
            <w:vMerge/>
            <w:shd w:val="clear" w:color="auto" w:fill="auto"/>
            <w:vAlign w:val="center"/>
          </w:tcPr>
          <w:p w:rsidR="00A31E6A" w:rsidRPr="007A4DB5" w:rsidRDefault="00A31E6A" w:rsidP="00D02C5D">
            <w:pPr>
              <w:spacing w:line="276" w:lineRule="auto"/>
              <w:jc w:val="center"/>
              <w:rPr>
                <w:rFonts w:ascii="Times New Roman" w:eastAsia="BatangChe" w:hAnsi="Times New Roman"/>
                <w:b/>
              </w:rPr>
            </w:pPr>
          </w:p>
        </w:tc>
        <w:tc>
          <w:tcPr>
            <w:tcW w:w="3544" w:type="dxa"/>
            <w:vMerge/>
            <w:shd w:val="clear" w:color="auto" w:fill="auto"/>
            <w:vAlign w:val="center"/>
          </w:tcPr>
          <w:p w:rsidR="00A31E6A" w:rsidRPr="007A4DB5" w:rsidRDefault="00A31E6A" w:rsidP="00D02C5D">
            <w:pPr>
              <w:spacing w:line="276" w:lineRule="auto"/>
              <w:jc w:val="center"/>
              <w:rPr>
                <w:rFonts w:ascii="Times New Roman" w:eastAsia="BatangChe" w:hAnsi="Times New Roman"/>
                <w:b/>
              </w:rPr>
            </w:pPr>
          </w:p>
        </w:tc>
        <w:tc>
          <w:tcPr>
            <w:tcW w:w="2410" w:type="dxa"/>
            <w:vMerge/>
            <w:shd w:val="clear" w:color="auto" w:fill="auto"/>
            <w:vAlign w:val="center"/>
          </w:tcPr>
          <w:p w:rsidR="00A31E6A" w:rsidRPr="007A4DB5" w:rsidRDefault="00A31E6A" w:rsidP="00D02C5D">
            <w:pPr>
              <w:spacing w:line="276" w:lineRule="auto"/>
              <w:jc w:val="center"/>
              <w:rPr>
                <w:rFonts w:ascii="Times New Roman" w:eastAsia="BatangChe" w:hAnsi="Times New Roman"/>
                <w:b/>
              </w:rPr>
            </w:pPr>
          </w:p>
        </w:tc>
        <w:tc>
          <w:tcPr>
            <w:tcW w:w="2409" w:type="dxa"/>
            <w:vAlign w:val="center"/>
          </w:tcPr>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3.daļa</w:t>
            </w:r>
          </w:p>
        </w:tc>
      </w:tr>
      <w:tr w:rsidR="007A4DB5" w:rsidRPr="007A4DB5" w:rsidTr="00A31E6A">
        <w:trPr>
          <w:trHeight w:val="340"/>
        </w:trPr>
        <w:tc>
          <w:tcPr>
            <w:tcW w:w="709" w:type="dxa"/>
            <w:vMerge w:val="restart"/>
            <w:shd w:val="clear" w:color="auto" w:fill="auto"/>
            <w:vAlign w:val="center"/>
          </w:tcPr>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2.</w:t>
            </w:r>
          </w:p>
        </w:tc>
        <w:tc>
          <w:tcPr>
            <w:tcW w:w="3544" w:type="dxa"/>
            <w:vMerge w:val="restart"/>
            <w:shd w:val="clear" w:color="auto" w:fill="auto"/>
            <w:vAlign w:val="center"/>
          </w:tcPr>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SIA “GRIF”,</w:t>
            </w:r>
          </w:p>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reģ. Nr.40103003522</w:t>
            </w:r>
          </w:p>
        </w:tc>
        <w:tc>
          <w:tcPr>
            <w:tcW w:w="2410" w:type="dxa"/>
            <w:vMerge w:val="restart"/>
            <w:shd w:val="clear" w:color="auto" w:fill="auto"/>
            <w:vAlign w:val="center"/>
          </w:tcPr>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21.05.2018.</w:t>
            </w:r>
          </w:p>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plkst.10:40</w:t>
            </w:r>
          </w:p>
        </w:tc>
        <w:tc>
          <w:tcPr>
            <w:tcW w:w="2409" w:type="dxa"/>
            <w:vAlign w:val="center"/>
          </w:tcPr>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2.daļa</w:t>
            </w:r>
          </w:p>
        </w:tc>
      </w:tr>
      <w:tr w:rsidR="007A4DB5" w:rsidRPr="007A4DB5" w:rsidTr="00A31E6A">
        <w:trPr>
          <w:trHeight w:val="340"/>
        </w:trPr>
        <w:tc>
          <w:tcPr>
            <w:tcW w:w="709" w:type="dxa"/>
            <w:vMerge/>
            <w:shd w:val="clear" w:color="auto" w:fill="auto"/>
          </w:tcPr>
          <w:p w:rsidR="00A31E6A" w:rsidRPr="007A4DB5" w:rsidRDefault="00A31E6A" w:rsidP="00D02C5D">
            <w:pPr>
              <w:spacing w:line="276" w:lineRule="auto"/>
              <w:jc w:val="center"/>
              <w:rPr>
                <w:rFonts w:ascii="Times New Roman" w:eastAsia="BatangChe" w:hAnsi="Times New Roman"/>
                <w:b/>
              </w:rPr>
            </w:pPr>
          </w:p>
        </w:tc>
        <w:tc>
          <w:tcPr>
            <w:tcW w:w="3544" w:type="dxa"/>
            <w:vMerge/>
            <w:shd w:val="clear" w:color="auto" w:fill="auto"/>
          </w:tcPr>
          <w:p w:rsidR="00A31E6A" w:rsidRPr="007A4DB5" w:rsidRDefault="00A31E6A" w:rsidP="00D02C5D">
            <w:pPr>
              <w:spacing w:line="276" w:lineRule="auto"/>
              <w:jc w:val="center"/>
              <w:rPr>
                <w:rFonts w:ascii="Times New Roman" w:eastAsia="BatangChe" w:hAnsi="Times New Roman"/>
                <w:b/>
              </w:rPr>
            </w:pPr>
          </w:p>
        </w:tc>
        <w:tc>
          <w:tcPr>
            <w:tcW w:w="2410" w:type="dxa"/>
            <w:vMerge/>
            <w:shd w:val="clear" w:color="auto" w:fill="auto"/>
          </w:tcPr>
          <w:p w:rsidR="00A31E6A" w:rsidRPr="007A4DB5" w:rsidRDefault="00A31E6A" w:rsidP="00D02C5D">
            <w:pPr>
              <w:spacing w:line="276" w:lineRule="auto"/>
              <w:jc w:val="center"/>
              <w:rPr>
                <w:rFonts w:ascii="Times New Roman" w:eastAsia="BatangChe" w:hAnsi="Times New Roman"/>
                <w:b/>
              </w:rPr>
            </w:pPr>
          </w:p>
        </w:tc>
        <w:tc>
          <w:tcPr>
            <w:tcW w:w="2409" w:type="dxa"/>
            <w:vAlign w:val="center"/>
          </w:tcPr>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3.daļa</w:t>
            </w:r>
          </w:p>
        </w:tc>
      </w:tr>
      <w:tr w:rsidR="007A4DB5" w:rsidRPr="007A4DB5" w:rsidTr="00A31E6A">
        <w:trPr>
          <w:trHeight w:val="340"/>
        </w:trPr>
        <w:tc>
          <w:tcPr>
            <w:tcW w:w="709" w:type="dxa"/>
            <w:vMerge/>
            <w:shd w:val="clear" w:color="auto" w:fill="auto"/>
          </w:tcPr>
          <w:p w:rsidR="00A31E6A" w:rsidRPr="007A4DB5" w:rsidRDefault="00A31E6A" w:rsidP="00D02C5D">
            <w:pPr>
              <w:spacing w:line="276" w:lineRule="auto"/>
              <w:jc w:val="center"/>
              <w:rPr>
                <w:rFonts w:ascii="Times New Roman" w:eastAsia="BatangChe" w:hAnsi="Times New Roman"/>
                <w:b/>
              </w:rPr>
            </w:pPr>
          </w:p>
        </w:tc>
        <w:tc>
          <w:tcPr>
            <w:tcW w:w="3544" w:type="dxa"/>
            <w:vMerge/>
            <w:shd w:val="clear" w:color="auto" w:fill="auto"/>
          </w:tcPr>
          <w:p w:rsidR="00A31E6A" w:rsidRPr="007A4DB5" w:rsidRDefault="00A31E6A" w:rsidP="00D02C5D">
            <w:pPr>
              <w:spacing w:line="276" w:lineRule="auto"/>
              <w:jc w:val="center"/>
              <w:rPr>
                <w:rFonts w:ascii="Times New Roman" w:eastAsia="BatangChe" w:hAnsi="Times New Roman"/>
                <w:b/>
              </w:rPr>
            </w:pPr>
          </w:p>
        </w:tc>
        <w:tc>
          <w:tcPr>
            <w:tcW w:w="2410" w:type="dxa"/>
            <w:vMerge/>
            <w:shd w:val="clear" w:color="auto" w:fill="auto"/>
          </w:tcPr>
          <w:p w:rsidR="00A31E6A" w:rsidRPr="007A4DB5" w:rsidRDefault="00A31E6A" w:rsidP="00D02C5D">
            <w:pPr>
              <w:spacing w:line="276" w:lineRule="auto"/>
              <w:jc w:val="center"/>
              <w:rPr>
                <w:rFonts w:ascii="Times New Roman" w:eastAsia="BatangChe" w:hAnsi="Times New Roman"/>
                <w:b/>
              </w:rPr>
            </w:pPr>
          </w:p>
        </w:tc>
        <w:tc>
          <w:tcPr>
            <w:tcW w:w="2409" w:type="dxa"/>
            <w:vAlign w:val="center"/>
          </w:tcPr>
          <w:p w:rsidR="00A31E6A" w:rsidRPr="007A4DB5" w:rsidRDefault="00A31E6A" w:rsidP="00D02C5D">
            <w:pPr>
              <w:spacing w:line="276" w:lineRule="auto"/>
              <w:jc w:val="center"/>
              <w:rPr>
                <w:rFonts w:ascii="Times New Roman" w:eastAsia="BatangChe" w:hAnsi="Times New Roman"/>
                <w:b/>
              </w:rPr>
            </w:pPr>
            <w:r w:rsidRPr="007A4DB5">
              <w:rPr>
                <w:rFonts w:ascii="Times New Roman" w:eastAsia="BatangChe" w:hAnsi="Times New Roman"/>
                <w:b/>
              </w:rPr>
              <w:t>4.daļa</w:t>
            </w:r>
          </w:p>
        </w:tc>
      </w:tr>
    </w:tbl>
    <w:p w:rsidR="006E3950" w:rsidRPr="007A4DB5" w:rsidRDefault="006E3950" w:rsidP="00F77BA3">
      <w:pPr>
        <w:pStyle w:val="ListParagraph"/>
        <w:numPr>
          <w:ilvl w:val="0"/>
          <w:numId w:val="3"/>
        </w:numPr>
        <w:spacing w:before="120" w:after="120" w:line="264" w:lineRule="auto"/>
        <w:ind w:left="340" w:hanging="340"/>
        <w:jc w:val="both"/>
        <w:rPr>
          <w:rFonts w:ascii="Times New Roman" w:eastAsia="Times New Roman" w:hAnsi="Times New Roman"/>
          <w:bCs/>
          <w:lang w:eastAsia="lv-LV"/>
        </w:rPr>
      </w:pPr>
      <w:r w:rsidRPr="007A4DB5">
        <w:rPr>
          <w:rFonts w:ascii="Times New Roman" w:eastAsia="Times New Roman" w:hAnsi="Times New Roman"/>
          <w:b/>
          <w:bCs/>
          <w:lang w:eastAsia="lv-LV"/>
        </w:rPr>
        <w:t>Piedāvājumu atbilstība Nolikumā noteiktajām prasībām un kritērijiem: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2268"/>
        <w:gridCol w:w="3260"/>
      </w:tblGrid>
      <w:tr w:rsidR="007A4DB5" w:rsidRPr="007A4DB5" w:rsidTr="003C69C3">
        <w:tc>
          <w:tcPr>
            <w:tcW w:w="709" w:type="dxa"/>
            <w:shd w:val="clear" w:color="auto" w:fill="auto"/>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Nr. p.k.</w:t>
            </w:r>
          </w:p>
        </w:tc>
        <w:tc>
          <w:tcPr>
            <w:tcW w:w="2835" w:type="dxa"/>
            <w:shd w:val="clear" w:color="auto" w:fill="auto"/>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Pretendenta nosaukums</w:t>
            </w:r>
          </w:p>
        </w:tc>
        <w:tc>
          <w:tcPr>
            <w:tcW w:w="2268" w:type="dxa"/>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Daļa, kurā iesniegts piedāvājums</w:t>
            </w:r>
          </w:p>
        </w:tc>
        <w:tc>
          <w:tcPr>
            <w:tcW w:w="3260" w:type="dxa"/>
            <w:shd w:val="clear" w:color="auto" w:fill="auto"/>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hAnsi="Times New Roman"/>
                <w:b/>
                <w:u w:val="single"/>
              </w:rPr>
              <w:t>atbilst vai neatbilst</w:t>
            </w:r>
          </w:p>
        </w:tc>
      </w:tr>
      <w:tr w:rsidR="007A4DB5" w:rsidRPr="007A4DB5" w:rsidTr="003C69C3">
        <w:trPr>
          <w:trHeight w:val="340"/>
        </w:trPr>
        <w:tc>
          <w:tcPr>
            <w:tcW w:w="709" w:type="dxa"/>
            <w:vMerge w:val="restart"/>
            <w:shd w:val="clear" w:color="auto" w:fill="auto"/>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1.</w:t>
            </w:r>
          </w:p>
        </w:tc>
        <w:tc>
          <w:tcPr>
            <w:tcW w:w="2835" w:type="dxa"/>
            <w:vMerge w:val="restart"/>
            <w:shd w:val="clear" w:color="auto" w:fill="auto"/>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SIA “</w:t>
            </w:r>
            <w:proofErr w:type="spellStart"/>
            <w:r w:rsidRPr="007A4DB5">
              <w:rPr>
                <w:rFonts w:ascii="Times New Roman" w:eastAsia="BatangChe" w:hAnsi="Times New Roman"/>
                <w:b/>
              </w:rPr>
              <w:t>Prāna</w:t>
            </w:r>
            <w:proofErr w:type="spellEnd"/>
            <w:r w:rsidRPr="007A4DB5">
              <w:rPr>
                <w:rFonts w:ascii="Times New Roman" w:eastAsia="BatangChe" w:hAnsi="Times New Roman"/>
                <w:b/>
              </w:rPr>
              <w:t xml:space="preserve"> Ko”,</w:t>
            </w:r>
          </w:p>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reģ. Nr.40003277283</w:t>
            </w:r>
          </w:p>
        </w:tc>
        <w:tc>
          <w:tcPr>
            <w:tcW w:w="2268" w:type="dxa"/>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2.daļa</w:t>
            </w:r>
          </w:p>
        </w:tc>
        <w:tc>
          <w:tcPr>
            <w:tcW w:w="3260" w:type="dxa"/>
            <w:shd w:val="clear" w:color="auto" w:fill="auto"/>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atbilst</w:t>
            </w:r>
          </w:p>
        </w:tc>
      </w:tr>
      <w:tr w:rsidR="007A4DB5" w:rsidRPr="007A4DB5" w:rsidTr="003C69C3">
        <w:trPr>
          <w:trHeight w:val="315"/>
        </w:trPr>
        <w:tc>
          <w:tcPr>
            <w:tcW w:w="709" w:type="dxa"/>
            <w:vMerge/>
            <w:shd w:val="clear" w:color="auto" w:fill="auto"/>
            <w:vAlign w:val="center"/>
          </w:tcPr>
          <w:p w:rsidR="005D5285" w:rsidRPr="007A4DB5" w:rsidRDefault="005D5285" w:rsidP="00D02C5D">
            <w:pPr>
              <w:spacing w:line="276" w:lineRule="auto"/>
              <w:jc w:val="center"/>
              <w:rPr>
                <w:rFonts w:ascii="Times New Roman" w:eastAsia="BatangChe" w:hAnsi="Times New Roman"/>
                <w:b/>
              </w:rPr>
            </w:pPr>
          </w:p>
        </w:tc>
        <w:tc>
          <w:tcPr>
            <w:tcW w:w="2835" w:type="dxa"/>
            <w:vMerge/>
            <w:shd w:val="clear" w:color="auto" w:fill="auto"/>
            <w:vAlign w:val="center"/>
          </w:tcPr>
          <w:p w:rsidR="005D5285" w:rsidRPr="007A4DB5" w:rsidRDefault="005D5285" w:rsidP="00D02C5D">
            <w:pPr>
              <w:spacing w:line="276" w:lineRule="auto"/>
              <w:jc w:val="center"/>
              <w:rPr>
                <w:rFonts w:ascii="Times New Roman" w:eastAsia="BatangChe" w:hAnsi="Times New Roman"/>
                <w:b/>
              </w:rPr>
            </w:pPr>
          </w:p>
        </w:tc>
        <w:tc>
          <w:tcPr>
            <w:tcW w:w="2268" w:type="dxa"/>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3.daļa</w:t>
            </w:r>
          </w:p>
        </w:tc>
        <w:tc>
          <w:tcPr>
            <w:tcW w:w="3260" w:type="dxa"/>
            <w:shd w:val="clear" w:color="auto" w:fill="auto"/>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daļā iepirkums pārtraukt</w:t>
            </w:r>
            <w:r w:rsidR="00A31CC6" w:rsidRPr="007A4DB5">
              <w:rPr>
                <w:rFonts w:ascii="Times New Roman" w:eastAsia="BatangChe" w:hAnsi="Times New Roman"/>
                <w:b/>
              </w:rPr>
              <w:t>s</w:t>
            </w:r>
          </w:p>
        </w:tc>
      </w:tr>
      <w:tr w:rsidR="007A4DB5" w:rsidRPr="007A4DB5" w:rsidTr="003C69C3">
        <w:trPr>
          <w:trHeight w:val="340"/>
        </w:trPr>
        <w:tc>
          <w:tcPr>
            <w:tcW w:w="709" w:type="dxa"/>
            <w:vMerge w:val="restart"/>
            <w:shd w:val="clear" w:color="auto" w:fill="auto"/>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2.</w:t>
            </w:r>
          </w:p>
        </w:tc>
        <w:tc>
          <w:tcPr>
            <w:tcW w:w="2835" w:type="dxa"/>
            <w:vMerge w:val="restart"/>
            <w:shd w:val="clear" w:color="auto" w:fill="auto"/>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SIA “GRIF”,</w:t>
            </w:r>
          </w:p>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reģ. Nr.40103003522</w:t>
            </w:r>
          </w:p>
        </w:tc>
        <w:tc>
          <w:tcPr>
            <w:tcW w:w="2268" w:type="dxa"/>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2.daļa</w:t>
            </w:r>
          </w:p>
        </w:tc>
        <w:tc>
          <w:tcPr>
            <w:tcW w:w="3260" w:type="dxa"/>
            <w:shd w:val="clear" w:color="auto" w:fill="auto"/>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atbilst</w:t>
            </w:r>
          </w:p>
        </w:tc>
      </w:tr>
      <w:tr w:rsidR="007A4DB5" w:rsidRPr="007A4DB5" w:rsidTr="003C69C3">
        <w:trPr>
          <w:trHeight w:val="340"/>
        </w:trPr>
        <w:tc>
          <w:tcPr>
            <w:tcW w:w="709" w:type="dxa"/>
            <w:vMerge/>
            <w:shd w:val="clear" w:color="auto" w:fill="auto"/>
          </w:tcPr>
          <w:p w:rsidR="005D5285" w:rsidRPr="007A4DB5" w:rsidRDefault="005D5285" w:rsidP="00D02C5D">
            <w:pPr>
              <w:spacing w:line="276" w:lineRule="auto"/>
              <w:jc w:val="center"/>
              <w:rPr>
                <w:rFonts w:ascii="Times New Roman" w:eastAsia="BatangChe" w:hAnsi="Times New Roman"/>
                <w:b/>
              </w:rPr>
            </w:pPr>
          </w:p>
        </w:tc>
        <w:tc>
          <w:tcPr>
            <w:tcW w:w="2835" w:type="dxa"/>
            <w:vMerge/>
            <w:shd w:val="clear" w:color="auto" w:fill="auto"/>
          </w:tcPr>
          <w:p w:rsidR="005D5285" w:rsidRPr="007A4DB5" w:rsidRDefault="005D5285" w:rsidP="00D02C5D">
            <w:pPr>
              <w:spacing w:line="276" w:lineRule="auto"/>
              <w:jc w:val="center"/>
              <w:rPr>
                <w:rFonts w:ascii="Times New Roman" w:eastAsia="BatangChe" w:hAnsi="Times New Roman"/>
                <w:b/>
              </w:rPr>
            </w:pPr>
          </w:p>
        </w:tc>
        <w:tc>
          <w:tcPr>
            <w:tcW w:w="2268" w:type="dxa"/>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3.daļa</w:t>
            </w:r>
          </w:p>
        </w:tc>
        <w:tc>
          <w:tcPr>
            <w:tcW w:w="3260" w:type="dxa"/>
            <w:shd w:val="clear" w:color="auto" w:fill="auto"/>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daļā iepirkums pārtraukt</w:t>
            </w:r>
            <w:r w:rsidR="00A31CC6" w:rsidRPr="007A4DB5">
              <w:rPr>
                <w:rFonts w:ascii="Times New Roman" w:eastAsia="BatangChe" w:hAnsi="Times New Roman"/>
                <w:b/>
              </w:rPr>
              <w:t>s</w:t>
            </w:r>
          </w:p>
        </w:tc>
      </w:tr>
      <w:tr w:rsidR="007A4DB5" w:rsidRPr="007A4DB5" w:rsidTr="003C69C3">
        <w:trPr>
          <w:trHeight w:val="340"/>
        </w:trPr>
        <w:tc>
          <w:tcPr>
            <w:tcW w:w="709" w:type="dxa"/>
            <w:vMerge/>
            <w:shd w:val="clear" w:color="auto" w:fill="auto"/>
          </w:tcPr>
          <w:p w:rsidR="005D5285" w:rsidRPr="007A4DB5" w:rsidRDefault="005D5285" w:rsidP="00D02C5D">
            <w:pPr>
              <w:spacing w:line="276" w:lineRule="auto"/>
              <w:jc w:val="center"/>
              <w:rPr>
                <w:rFonts w:ascii="Times New Roman" w:eastAsia="BatangChe" w:hAnsi="Times New Roman"/>
                <w:b/>
              </w:rPr>
            </w:pPr>
          </w:p>
        </w:tc>
        <w:tc>
          <w:tcPr>
            <w:tcW w:w="2835" w:type="dxa"/>
            <w:vMerge/>
            <w:shd w:val="clear" w:color="auto" w:fill="auto"/>
          </w:tcPr>
          <w:p w:rsidR="005D5285" w:rsidRPr="007A4DB5" w:rsidRDefault="005D5285" w:rsidP="00D02C5D">
            <w:pPr>
              <w:spacing w:line="276" w:lineRule="auto"/>
              <w:jc w:val="center"/>
              <w:rPr>
                <w:rFonts w:ascii="Times New Roman" w:eastAsia="BatangChe" w:hAnsi="Times New Roman"/>
                <w:b/>
              </w:rPr>
            </w:pPr>
          </w:p>
        </w:tc>
        <w:tc>
          <w:tcPr>
            <w:tcW w:w="2268" w:type="dxa"/>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4.daļa</w:t>
            </w:r>
          </w:p>
        </w:tc>
        <w:tc>
          <w:tcPr>
            <w:tcW w:w="3260" w:type="dxa"/>
            <w:shd w:val="clear" w:color="auto" w:fill="auto"/>
            <w:vAlign w:val="center"/>
          </w:tcPr>
          <w:p w:rsidR="005D5285" w:rsidRPr="007A4DB5" w:rsidRDefault="005D5285" w:rsidP="00D02C5D">
            <w:pPr>
              <w:spacing w:line="276" w:lineRule="auto"/>
              <w:jc w:val="center"/>
              <w:rPr>
                <w:rFonts w:ascii="Times New Roman" w:eastAsia="BatangChe" w:hAnsi="Times New Roman"/>
                <w:b/>
              </w:rPr>
            </w:pPr>
            <w:r w:rsidRPr="007A4DB5">
              <w:rPr>
                <w:rFonts w:ascii="Times New Roman" w:eastAsia="BatangChe" w:hAnsi="Times New Roman"/>
                <w:b/>
              </w:rPr>
              <w:t>daļā iepirkums pārtraukt</w:t>
            </w:r>
            <w:r w:rsidR="00A31CC6" w:rsidRPr="007A4DB5">
              <w:rPr>
                <w:rFonts w:ascii="Times New Roman" w:eastAsia="BatangChe" w:hAnsi="Times New Roman"/>
                <w:b/>
              </w:rPr>
              <w:t>s</w:t>
            </w:r>
          </w:p>
        </w:tc>
      </w:tr>
    </w:tbl>
    <w:p w:rsidR="00FF75E3" w:rsidRPr="007A4DB5" w:rsidRDefault="006E3950" w:rsidP="00F77BA3">
      <w:pPr>
        <w:pStyle w:val="ListParagraph"/>
        <w:numPr>
          <w:ilvl w:val="0"/>
          <w:numId w:val="3"/>
        </w:numPr>
        <w:spacing w:before="120" w:line="264" w:lineRule="auto"/>
        <w:ind w:left="340" w:hanging="340"/>
        <w:jc w:val="both"/>
        <w:rPr>
          <w:rFonts w:ascii="Times New Roman" w:eastAsia="Times New Roman" w:hAnsi="Times New Roman"/>
          <w:b/>
          <w:bCs/>
          <w:lang w:eastAsia="lv-LV"/>
        </w:rPr>
      </w:pPr>
      <w:r w:rsidRPr="007A4DB5">
        <w:rPr>
          <w:rFonts w:ascii="Times New Roman" w:eastAsia="Times New Roman" w:hAnsi="Times New Roman"/>
          <w:b/>
          <w:bCs/>
          <w:lang w:eastAsia="lv-LV"/>
        </w:rPr>
        <w:t>Pretendentu piedāvājumi, kuros veikti aritmētisko kļūdu labojumi:</w:t>
      </w:r>
      <w:r w:rsidR="00FF75E3" w:rsidRPr="007A4DB5">
        <w:rPr>
          <w:rFonts w:ascii="Times New Roman" w:eastAsia="Times New Roman" w:hAnsi="Times New Roman"/>
          <w:lang w:eastAsia="lv-LV"/>
        </w:rPr>
        <w:t xml:space="preserve"> </w:t>
      </w:r>
      <w:r w:rsidR="005D5285" w:rsidRPr="007A4DB5">
        <w:rPr>
          <w:rFonts w:ascii="Times New Roman" w:eastAsia="Times New Roman" w:hAnsi="Times New Roman"/>
          <w:lang w:eastAsia="lv-LV"/>
        </w:rPr>
        <w:t>nevienā no pretendentu piedāvājumiem netika veikti aritmētisko kļūdu labojumi.</w:t>
      </w:r>
    </w:p>
    <w:p w:rsidR="007B3AA7" w:rsidRPr="007A4DB5" w:rsidRDefault="006E3950" w:rsidP="00F77BA3">
      <w:pPr>
        <w:pStyle w:val="ListParagraph"/>
        <w:numPr>
          <w:ilvl w:val="0"/>
          <w:numId w:val="3"/>
        </w:numPr>
        <w:spacing w:line="264" w:lineRule="auto"/>
        <w:ind w:left="340" w:hanging="340"/>
        <w:jc w:val="both"/>
        <w:rPr>
          <w:rFonts w:ascii="Times New Roman" w:eastAsia="Times New Roman" w:hAnsi="Times New Roman"/>
          <w:b/>
          <w:bCs/>
          <w:lang w:eastAsia="lv-LV"/>
        </w:rPr>
      </w:pPr>
      <w:r w:rsidRPr="007A4DB5">
        <w:rPr>
          <w:rFonts w:ascii="Times New Roman" w:eastAsia="Times New Roman" w:hAnsi="Times New Roman"/>
          <w:b/>
          <w:bCs/>
          <w:lang w:eastAsia="lv-LV"/>
        </w:rPr>
        <w:t>Noraidītie pretendenti un to noraidīšanas iemesli:</w:t>
      </w:r>
      <w:r w:rsidR="006D4426" w:rsidRPr="007A4DB5">
        <w:rPr>
          <w:rFonts w:ascii="Times New Roman" w:eastAsia="Times New Roman" w:hAnsi="Times New Roman"/>
          <w:b/>
          <w:bCs/>
          <w:lang w:eastAsia="lv-LV"/>
        </w:rPr>
        <w:t xml:space="preserve"> </w:t>
      </w:r>
      <w:r w:rsidR="007B3AA7" w:rsidRPr="007A4DB5">
        <w:rPr>
          <w:rFonts w:ascii="Times New Roman" w:hAnsi="Times New Roman"/>
          <w:bCs/>
        </w:rPr>
        <w:t>Neviens pretendents netika noraidīts.</w:t>
      </w:r>
    </w:p>
    <w:p w:rsidR="004C5E01" w:rsidRPr="007A4DB5" w:rsidRDefault="00E63C49" w:rsidP="004C5E01">
      <w:pPr>
        <w:pStyle w:val="ListParagraph"/>
        <w:numPr>
          <w:ilvl w:val="0"/>
          <w:numId w:val="3"/>
        </w:numPr>
        <w:spacing w:line="276" w:lineRule="auto"/>
        <w:ind w:left="340" w:hanging="340"/>
        <w:jc w:val="both"/>
        <w:rPr>
          <w:rFonts w:ascii="Times New Roman" w:hAnsi="Times New Roman"/>
        </w:rPr>
      </w:pPr>
      <w:r w:rsidRPr="007A4DB5">
        <w:rPr>
          <w:rFonts w:ascii="Times New Roman" w:eastAsia="Times New Roman" w:hAnsi="Times New Roman"/>
          <w:b/>
          <w:bCs/>
          <w:lang w:eastAsia="lv-LV"/>
        </w:rPr>
        <w:t xml:space="preserve">Iepirkuma 1.daļā </w:t>
      </w:r>
      <w:r w:rsidRPr="007A4DB5">
        <w:rPr>
          <w:rFonts w:ascii="Times New Roman" w:hAnsi="Times New Roman"/>
          <w:b/>
          <w:bCs/>
        </w:rPr>
        <w:t xml:space="preserve">“Laboratorijas un dzīvnieku telpu apģērbs un piederumi” </w:t>
      </w:r>
      <w:r w:rsidR="00567FE1" w:rsidRPr="007A4DB5">
        <w:rPr>
          <w:rFonts w:ascii="Times New Roman" w:hAnsi="Times New Roman"/>
        </w:rPr>
        <w:t xml:space="preserve">netika </w:t>
      </w:r>
      <w:r w:rsidRPr="007A4DB5">
        <w:rPr>
          <w:rFonts w:ascii="Times New Roman" w:hAnsi="Times New Roman"/>
        </w:rPr>
        <w:t xml:space="preserve">saņemts neviens piedāvājums. </w:t>
      </w:r>
    </w:p>
    <w:p w:rsidR="004C5E01" w:rsidRPr="007A4DB5" w:rsidRDefault="004C5E01" w:rsidP="004C5E01">
      <w:pPr>
        <w:pStyle w:val="ListParagraph"/>
        <w:spacing w:line="276" w:lineRule="auto"/>
        <w:ind w:left="340"/>
        <w:jc w:val="both"/>
        <w:rPr>
          <w:rFonts w:ascii="Times New Roman" w:hAnsi="Times New Roman"/>
        </w:rPr>
      </w:pPr>
      <w:r w:rsidRPr="007A4DB5">
        <w:rPr>
          <w:rFonts w:ascii="Times New Roman" w:hAnsi="Times New Roman"/>
        </w:rPr>
        <w:t xml:space="preserve">Saskaņā ar Publisko iepirkumu likuma 9.panta trīspadsmitajā daļā noteikto, ja iepirkumā nav vispār iesniegti piedāvājumi, iepirkuma Komisija pieņem lēmumu izbeigt iepirkumu </w:t>
      </w:r>
      <w:r w:rsidRPr="007A4DB5">
        <w:rPr>
          <w:rFonts w:ascii="Times New Roman" w:hAnsi="Times New Roman"/>
        </w:rPr>
        <w:lastRenderedPageBreak/>
        <w:t>bez rezultāta. Pasūtītājs triju darbdienu laikā pēc tam, kad pieņemts lēmums izbeigt iepirkumu bez rezultāta, sagatavo un publicē publikāciju vadības sistēmā informāciju par iepirkuma izbeigšanu bez rezultāta, norādot lēmuma pieņemšanas datumu un pamatojumu, kā arī savā pircēja profilā nodrošina brīvu un tiešu elektronisku piekļuvi šim lēmumam.</w:t>
      </w:r>
    </w:p>
    <w:p w:rsidR="004C5E01" w:rsidRPr="007A4DB5" w:rsidRDefault="004C5E01" w:rsidP="004C5E01">
      <w:pPr>
        <w:pStyle w:val="ListParagraph"/>
        <w:spacing w:line="276" w:lineRule="auto"/>
        <w:ind w:left="340"/>
        <w:jc w:val="both"/>
        <w:rPr>
          <w:rFonts w:ascii="Times New Roman" w:hAnsi="Times New Roman"/>
        </w:rPr>
      </w:pPr>
      <w:r w:rsidRPr="007A4DB5">
        <w:rPr>
          <w:rFonts w:ascii="Times New Roman" w:hAnsi="Times New Roman"/>
        </w:rPr>
        <w:t xml:space="preserve">Ievērojot minēto Komisija nolemj Iepirkumu </w:t>
      </w:r>
      <w:r w:rsidRPr="007A4DB5">
        <w:rPr>
          <w:rFonts w:ascii="Times New Roman" w:hAnsi="Times New Roman"/>
          <w:b/>
          <w:bCs/>
        </w:rPr>
        <w:t>1.daļā “Laboratorijas un dzīvnieku telpu apģērbs un piederumi”</w:t>
      </w:r>
      <w:r w:rsidRPr="007A4DB5">
        <w:rPr>
          <w:rFonts w:ascii="Times New Roman" w:hAnsi="Times New Roman"/>
        </w:rPr>
        <w:t xml:space="preserve"> izbeigt iepirkumu bez rezultāta.</w:t>
      </w:r>
    </w:p>
    <w:p w:rsidR="004C5E01" w:rsidRPr="007A4DB5" w:rsidRDefault="004C5E01" w:rsidP="004C5E01">
      <w:pPr>
        <w:pStyle w:val="ListParagraph"/>
        <w:spacing w:line="276" w:lineRule="auto"/>
        <w:ind w:left="340"/>
        <w:jc w:val="both"/>
        <w:rPr>
          <w:rFonts w:ascii="Times New Roman" w:hAnsi="Times New Roman"/>
          <w:bCs/>
        </w:rPr>
      </w:pPr>
      <w:r w:rsidRPr="007A4DB5">
        <w:rPr>
          <w:rFonts w:ascii="Times New Roman" w:hAnsi="Times New Roman"/>
          <w:b/>
          <w:bCs/>
        </w:rPr>
        <w:t>Iepirkuma 2.daļā “Medicīnas apģērbs un piederumi”</w:t>
      </w:r>
      <w:r w:rsidR="007430EB" w:rsidRPr="007A4DB5">
        <w:rPr>
          <w:rFonts w:ascii="Times New Roman" w:hAnsi="Times New Roman"/>
          <w:b/>
          <w:bCs/>
        </w:rPr>
        <w:t xml:space="preserve"> </w:t>
      </w:r>
      <w:r w:rsidR="007430EB" w:rsidRPr="007A4DB5">
        <w:rPr>
          <w:rFonts w:ascii="Times New Roman" w:hAnsi="Times New Roman"/>
        </w:rPr>
        <w:t xml:space="preserve">tika saņemti </w:t>
      </w:r>
      <w:r w:rsidR="00486273" w:rsidRPr="007A4DB5">
        <w:rPr>
          <w:rFonts w:ascii="Times New Roman" w:hAnsi="Times New Roman"/>
        </w:rPr>
        <w:t xml:space="preserve">divu pretendentu piedāvājumi – </w:t>
      </w:r>
      <w:r w:rsidR="007430EB" w:rsidRPr="007A4DB5">
        <w:rPr>
          <w:rFonts w:ascii="Times New Roman" w:hAnsi="Times New Roman"/>
          <w:b/>
          <w:bCs/>
        </w:rPr>
        <w:t>SIA “</w:t>
      </w:r>
      <w:proofErr w:type="spellStart"/>
      <w:r w:rsidR="007430EB" w:rsidRPr="007A4DB5">
        <w:rPr>
          <w:rFonts w:ascii="Times New Roman" w:hAnsi="Times New Roman"/>
          <w:b/>
          <w:bCs/>
        </w:rPr>
        <w:t>Prāna</w:t>
      </w:r>
      <w:proofErr w:type="spellEnd"/>
      <w:r w:rsidR="007430EB" w:rsidRPr="007A4DB5">
        <w:rPr>
          <w:rFonts w:ascii="Times New Roman" w:hAnsi="Times New Roman"/>
          <w:b/>
          <w:bCs/>
        </w:rPr>
        <w:t xml:space="preserve"> Ko”</w:t>
      </w:r>
      <w:r w:rsidR="007430EB" w:rsidRPr="007A4DB5">
        <w:rPr>
          <w:rFonts w:ascii="Times New Roman" w:hAnsi="Times New Roman"/>
        </w:rPr>
        <w:t xml:space="preserve"> (finanšu piedāvājuma kopsumma 47,40 EUR bez PVN) un </w:t>
      </w:r>
      <w:r w:rsidR="007430EB" w:rsidRPr="007A4DB5">
        <w:rPr>
          <w:rFonts w:ascii="Times New Roman" w:hAnsi="Times New Roman"/>
          <w:b/>
          <w:bCs/>
        </w:rPr>
        <w:t>SIA “GRIF”</w:t>
      </w:r>
      <w:r w:rsidR="007430EB" w:rsidRPr="007A4DB5">
        <w:rPr>
          <w:rFonts w:ascii="Times New Roman" w:hAnsi="Times New Roman"/>
        </w:rPr>
        <w:t xml:space="preserve"> (finanšu piedāvājuma kopsumma 55,43 EUR bez PVN)</w:t>
      </w:r>
      <w:r w:rsidR="00486273" w:rsidRPr="007A4DB5">
        <w:rPr>
          <w:rFonts w:ascii="Times New Roman" w:hAnsi="Times New Roman"/>
        </w:rPr>
        <w:t xml:space="preserve">. </w:t>
      </w:r>
      <w:r w:rsidR="00BB7AEF" w:rsidRPr="007A4DB5">
        <w:rPr>
          <w:rFonts w:ascii="Times New Roman" w:eastAsia="Times New Roman" w:hAnsi="Times New Roman"/>
          <w:lang w:eastAsia="lv-LV"/>
        </w:rPr>
        <w:t>Komisija nolemj</w:t>
      </w:r>
      <w:r w:rsidRPr="007A4DB5">
        <w:rPr>
          <w:rFonts w:ascii="Times New Roman" w:eastAsia="Times New Roman" w:hAnsi="Times New Roman"/>
          <w:lang w:eastAsia="lv-LV"/>
        </w:rPr>
        <w:t xml:space="preserve"> </w:t>
      </w:r>
      <w:r w:rsidRPr="007A4DB5">
        <w:rPr>
          <w:rFonts w:ascii="Times New Roman" w:hAnsi="Times New Roman"/>
        </w:rPr>
        <w:t>par uzvarētāju atzīt un līguma slēgšanas tiesības piešķirt p</w:t>
      </w:r>
      <w:r w:rsidRPr="007A4DB5">
        <w:rPr>
          <w:rFonts w:ascii="Times New Roman" w:hAnsi="Times New Roman"/>
          <w:bCs/>
        </w:rPr>
        <w:t xml:space="preserve">retendentam </w:t>
      </w:r>
      <w:r w:rsidRPr="007A4DB5">
        <w:rPr>
          <w:rFonts w:ascii="Times New Roman" w:hAnsi="Times New Roman"/>
          <w:b/>
        </w:rPr>
        <w:t>SIA “</w:t>
      </w:r>
      <w:proofErr w:type="spellStart"/>
      <w:r w:rsidRPr="007A4DB5">
        <w:rPr>
          <w:rFonts w:ascii="Times New Roman" w:hAnsi="Times New Roman"/>
          <w:b/>
        </w:rPr>
        <w:t>Prāna</w:t>
      </w:r>
      <w:proofErr w:type="spellEnd"/>
      <w:r w:rsidRPr="007A4DB5">
        <w:rPr>
          <w:rFonts w:ascii="Times New Roman" w:hAnsi="Times New Roman"/>
          <w:b/>
        </w:rPr>
        <w:t xml:space="preserve"> Ko”</w:t>
      </w:r>
      <w:r w:rsidRPr="007A4DB5">
        <w:rPr>
          <w:rFonts w:ascii="Times New Roman" w:hAnsi="Times New Roman"/>
          <w:bCs/>
        </w:rPr>
        <w:t>, jo tā piedāvājums atbilst Iepirkuma nolikumā noteiktajām prasībām un ir ar viszemāko cenu</w:t>
      </w:r>
      <w:r w:rsidR="000E7602" w:rsidRPr="007A4DB5">
        <w:rPr>
          <w:rFonts w:ascii="Times New Roman" w:hAnsi="Times New Roman"/>
          <w:bCs/>
        </w:rPr>
        <w:t xml:space="preserve"> </w:t>
      </w:r>
      <w:r w:rsidR="000E7602" w:rsidRPr="007A4DB5">
        <w:rPr>
          <w:rFonts w:ascii="Times New Roman" w:hAnsi="Times New Roman"/>
          <w:bCs/>
          <w:lang w:eastAsia="lv-LV"/>
        </w:rPr>
        <w:t xml:space="preserve">(finanšu piedāvājuma kopsumma) </w:t>
      </w:r>
      <w:r w:rsidRPr="007A4DB5">
        <w:rPr>
          <w:rFonts w:ascii="Times New Roman" w:hAnsi="Times New Roman"/>
          <w:bCs/>
        </w:rPr>
        <w:t xml:space="preserve">47,40 EUR (četrdesmit septiņi </w:t>
      </w:r>
      <w:proofErr w:type="spellStart"/>
      <w:r w:rsidRPr="007A4DB5">
        <w:rPr>
          <w:rFonts w:ascii="Times New Roman" w:hAnsi="Times New Roman"/>
          <w:bCs/>
          <w:i/>
          <w:iCs/>
        </w:rPr>
        <w:t>euro</w:t>
      </w:r>
      <w:proofErr w:type="spellEnd"/>
      <w:r w:rsidRPr="007A4DB5">
        <w:rPr>
          <w:rFonts w:ascii="Times New Roman" w:hAnsi="Times New Roman"/>
          <w:bCs/>
          <w:i/>
          <w:iCs/>
        </w:rPr>
        <w:t xml:space="preserve"> </w:t>
      </w:r>
      <w:r w:rsidRPr="007A4DB5">
        <w:rPr>
          <w:rFonts w:ascii="Times New Roman" w:hAnsi="Times New Roman"/>
          <w:bCs/>
        </w:rPr>
        <w:t>un četrdesmit centi), neieskaitot PVN.</w:t>
      </w:r>
    </w:p>
    <w:p w:rsidR="004C5E01" w:rsidRPr="007A4DB5" w:rsidRDefault="004C5E01" w:rsidP="004C5E01">
      <w:pPr>
        <w:pStyle w:val="ListParagraph"/>
        <w:spacing w:line="276" w:lineRule="auto"/>
        <w:ind w:left="340"/>
        <w:jc w:val="both"/>
        <w:rPr>
          <w:rFonts w:ascii="Times New Roman" w:hAnsi="Times New Roman"/>
        </w:rPr>
      </w:pPr>
      <w:r w:rsidRPr="007A4DB5">
        <w:rPr>
          <w:rFonts w:ascii="Times New Roman" w:hAnsi="Times New Roman"/>
          <w:b/>
        </w:rPr>
        <w:t>Iepirkuma</w:t>
      </w:r>
      <w:r w:rsidRPr="007A4DB5">
        <w:rPr>
          <w:rFonts w:ascii="Times New Roman" w:hAnsi="Times New Roman"/>
          <w:bCs/>
        </w:rPr>
        <w:t xml:space="preserve"> </w:t>
      </w:r>
      <w:r w:rsidRPr="007A4DB5">
        <w:rPr>
          <w:rFonts w:ascii="Times New Roman" w:hAnsi="Times New Roman"/>
          <w:b/>
        </w:rPr>
        <w:t>3.daļā “Apkalpojošā personāla darba apģērbi”</w:t>
      </w:r>
      <w:r w:rsidRPr="007A4DB5">
        <w:rPr>
          <w:rFonts w:ascii="Times New Roman" w:hAnsi="Times New Roman"/>
          <w:bCs/>
        </w:rPr>
        <w:t xml:space="preserve"> un </w:t>
      </w:r>
      <w:r w:rsidRPr="007A4DB5">
        <w:rPr>
          <w:rFonts w:ascii="Times New Roman" w:hAnsi="Times New Roman"/>
          <w:b/>
          <w:bCs/>
        </w:rPr>
        <w:t>4.daļā</w:t>
      </w:r>
      <w:r w:rsidRPr="007A4DB5">
        <w:rPr>
          <w:rFonts w:ascii="Times New Roman" w:hAnsi="Times New Roman"/>
        </w:rPr>
        <w:t xml:space="preserve"> </w:t>
      </w:r>
      <w:r w:rsidRPr="007A4DB5">
        <w:rPr>
          <w:rFonts w:ascii="Times New Roman" w:hAnsi="Times New Roman"/>
          <w:b/>
          <w:bCs/>
        </w:rPr>
        <w:t xml:space="preserve">“Apģērbs un apavi darbam </w:t>
      </w:r>
      <w:proofErr w:type="spellStart"/>
      <w:r w:rsidRPr="007A4DB5">
        <w:rPr>
          <w:rFonts w:ascii="Times New Roman" w:hAnsi="Times New Roman"/>
          <w:b/>
          <w:bCs/>
        </w:rPr>
        <w:t>ārtelpās</w:t>
      </w:r>
      <w:proofErr w:type="spellEnd"/>
      <w:r w:rsidRPr="007A4DB5">
        <w:rPr>
          <w:rFonts w:ascii="Times New Roman" w:hAnsi="Times New Roman"/>
          <w:b/>
          <w:bCs/>
        </w:rPr>
        <w:t>”</w:t>
      </w:r>
      <w:r w:rsidRPr="007A4DB5">
        <w:rPr>
          <w:rFonts w:ascii="Times New Roman" w:hAnsi="Times New Roman"/>
        </w:rPr>
        <w:t xml:space="preserve"> </w:t>
      </w:r>
      <w:r w:rsidR="00BC789B" w:rsidRPr="007A4DB5">
        <w:rPr>
          <w:rFonts w:ascii="Times New Roman" w:hAnsi="Times New Roman"/>
        </w:rPr>
        <w:t>Komisija konstatē</w:t>
      </w:r>
      <w:r w:rsidRPr="007A4DB5">
        <w:rPr>
          <w:rFonts w:ascii="Times New Roman" w:hAnsi="Times New Roman"/>
        </w:rPr>
        <w:t>, ka nepieciešams veikt būtiskus grozījumus tehniskajās specifikācijās.</w:t>
      </w:r>
    </w:p>
    <w:p w:rsidR="004C5E01" w:rsidRPr="007A4DB5" w:rsidRDefault="004C5E01" w:rsidP="004C5E01">
      <w:pPr>
        <w:pStyle w:val="ListParagraph"/>
        <w:spacing w:line="276" w:lineRule="auto"/>
        <w:ind w:left="340"/>
        <w:jc w:val="both"/>
        <w:rPr>
          <w:rFonts w:ascii="Times New Roman" w:hAnsi="Times New Roman"/>
        </w:rPr>
      </w:pPr>
      <w:r w:rsidRPr="007A4DB5">
        <w:rPr>
          <w:rFonts w:ascii="Times New Roman" w:hAnsi="Times New Roman"/>
          <w:bCs/>
        </w:rPr>
        <w:t xml:space="preserve">Saskaņā ar Publisko iepirkumu likuma 9.panta piecpadsmito daļu </w:t>
      </w:r>
      <w:r w:rsidRPr="007A4DB5">
        <w:rPr>
          <w:rFonts w:ascii="Times New Roman" w:hAnsi="Times New Roman"/>
        </w:rPr>
        <w:t xml:space="preserve">pasūtītājs ir tiesīgs pārtraukt iepirkumu un neslēgt iepirkuma līgumu, ja tam ir objektīvs pamatojums. Pasūtītājs triju darbdienu laikā pēc tam, kad pieņemts lēmums pārtraukt iepirkumu, sagatavo un publicē publikāciju vadības sistēmā informāciju par iepirkuma pārtraukšanu, norādot lēmuma pieņemšanas datumu un pamatojumu (informācija tiek pievienota paziņojumam par plānoto līgumu), kā arī savā pircēja profilā nodrošina brīvu un tiešu elektronisku piekļuvi šim lēmumam. </w:t>
      </w:r>
      <w:r w:rsidR="00FC5E2F" w:rsidRPr="007A4DB5">
        <w:rPr>
          <w:rFonts w:ascii="Times New Roman" w:hAnsi="Times New Roman"/>
        </w:rPr>
        <w:t xml:space="preserve">Ievērojot minēto, </w:t>
      </w:r>
      <w:r w:rsidRPr="007A4DB5">
        <w:rPr>
          <w:rFonts w:ascii="Times New Roman" w:hAnsi="Times New Roman"/>
        </w:rPr>
        <w:t xml:space="preserve">kā arī pamatojoties uz Publisko iepirkumu likuma 9.panta piecpadsmito daļu, </w:t>
      </w:r>
      <w:r w:rsidR="00FC5E2F" w:rsidRPr="007A4DB5">
        <w:rPr>
          <w:rFonts w:ascii="Times New Roman" w:hAnsi="Times New Roman"/>
        </w:rPr>
        <w:t xml:space="preserve">Komisija </w:t>
      </w:r>
      <w:r w:rsidRPr="007A4DB5">
        <w:rPr>
          <w:rFonts w:ascii="Times New Roman" w:hAnsi="Times New Roman"/>
        </w:rPr>
        <w:t xml:space="preserve">vienbalsīgi nolemj pārtraukt Iepirkumu </w:t>
      </w:r>
      <w:r w:rsidRPr="007A4DB5">
        <w:rPr>
          <w:rFonts w:ascii="Times New Roman" w:hAnsi="Times New Roman"/>
          <w:b/>
        </w:rPr>
        <w:t>3.daļā “Apkalpojošā personāla darba apģērbi”</w:t>
      </w:r>
      <w:r w:rsidRPr="007A4DB5">
        <w:rPr>
          <w:rFonts w:ascii="Times New Roman" w:hAnsi="Times New Roman"/>
          <w:bCs/>
        </w:rPr>
        <w:t xml:space="preserve"> un </w:t>
      </w:r>
      <w:r w:rsidRPr="007A4DB5">
        <w:rPr>
          <w:rFonts w:ascii="Times New Roman" w:hAnsi="Times New Roman"/>
          <w:b/>
          <w:bCs/>
        </w:rPr>
        <w:t>4.daļā</w:t>
      </w:r>
      <w:r w:rsidRPr="007A4DB5">
        <w:rPr>
          <w:rFonts w:ascii="Times New Roman" w:hAnsi="Times New Roman"/>
        </w:rPr>
        <w:t xml:space="preserve"> </w:t>
      </w:r>
      <w:r w:rsidRPr="007A4DB5">
        <w:rPr>
          <w:rFonts w:ascii="Times New Roman" w:hAnsi="Times New Roman"/>
          <w:b/>
          <w:bCs/>
        </w:rPr>
        <w:t xml:space="preserve">“Apģērbs un apavi darbam </w:t>
      </w:r>
      <w:proofErr w:type="spellStart"/>
      <w:r w:rsidRPr="007A4DB5">
        <w:rPr>
          <w:rFonts w:ascii="Times New Roman" w:hAnsi="Times New Roman"/>
          <w:b/>
          <w:bCs/>
        </w:rPr>
        <w:t>ārtelpās</w:t>
      </w:r>
      <w:proofErr w:type="spellEnd"/>
      <w:r w:rsidRPr="007A4DB5">
        <w:rPr>
          <w:rFonts w:ascii="Times New Roman" w:hAnsi="Times New Roman"/>
          <w:b/>
          <w:bCs/>
        </w:rPr>
        <w:t>”</w:t>
      </w:r>
      <w:r w:rsidRPr="007A4DB5">
        <w:rPr>
          <w:rFonts w:ascii="Times New Roman" w:hAnsi="Times New Roman"/>
        </w:rPr>
        <w:t>, jo nepieciešami būtiski grozījumi Iepirkuma nolikuma tehniskajā specifikācijā</w:t>
      </w:r>
      <w:r w:rsidR="00FC5E2F" w:rsidRPr="007A4DB5">
        <w:rPr>
          <w:rFonts w:ascii="Times New Roman" w:hAnsi="Times New Roman"/>
        </w:rPr>
        <w:t>.</w:t>
      </w:r>
    </w:p>
    <w:p w:rsidR="00F77BA3" w:rsidRPr="007A4DB5" w:rsidRDefault="006E3950" w:rsidP="00F77BA3">
      <w:pPr>
        <w:pStyle w:val="ListParagraph"/>
        <w:numPr>
          <w:ilvl w:val="0"/>
          <w:numId w:val="3"/>
        </w:numPr>
        <w:spacing w:line="264" w:lineRule="auto"/>
        <w:ind w:left="340" w:hanging="340"/>
        <w:jc w:val="both"/>
        <w:rPr>
          <w:rFonts w:ascii="Times New Roman" w:eastAsia="Times New Roman" w:hAnsi="Times New Roman"/>
          <w:b/>
          <w:bCs/>
          <w:lang w:eastAsia="lv-LV"/>
        </w:rPr>
      </w:pPr>
      <w:r w:rsidRPr="007A4DB5">
        <w:rPr>
          <w:rFonts w:ascii="Times New Roman" w:eastAsia="Times New Roman" w:hAnsi="Times New Roman"/>
          <w:b/>
          <w:bCs/>
          <w:lang w:eastAsia="lv-LV"/>
        </w:rPr>
        <w:t xml:space="preserve">Publisko iepirkumu likuma 9.panta </w:t>
      </w:r>
      <w:r w:rsidR="00F77BA3" w:rsidRPr="007A4DB5">
        <w:rPr>
          <w:rFonts w:ascii="Times New Roman" w:eastAsia="Times New Roman" w:hAnsi="Times New Roman"/>
          <w:b/>
          <w:bCs/>
          <w:lang w:eastAsia="lv-LV"/>
        </w:rPr>
        <w:t>astotajā</w:t>
      </w:r>
      <w:r w:rsidRPr="007A4DB5">
        <w:rPr>
          <w:rFonts w:ascii="Times New Roman" w:eastAsia="Times New Roman" w:hAnsi="Times New Roman"/>
          <w:b/>
          <w:bCs/>
          <w:lang w:eastAsia="lv-LV"/>
        </w:rPr>
        <w:t xml:space="preserve"> daļā minētie izslēgšanas nosacījumi</w:t>
      </w:r>
      <w:r w:rsidRPr="007A4DB5">
        <w:rPr>
          <w:rFonts w:ascii="Times New Roman" w:eastAsia="Times New Roman" w:hAnsi="Times New Roman"/>
          <w:bCs/>
          <w:lang w:eastAsia="lv-LV"/>
        </w:rPr>
        <w:t xml:space="preserve"> </w:t>
      </w:r>
      <w:r w:rsidRPr="007A4DB5">
        <w:rPr>
          <w:rFonts w:ascii="Times New Roman" w:eastAsia="Times New Roman" w:hAnsi="Times New Roman"/>
          <w:b/>
          <w:bCs/>
          <w:lang w:eastAsia="lv-LV"/>
        </w:rPr>
        <w:t>uz pretendent</w:t>
      </w:r>
      <w:r w:rsidR="00F77BA3" w:rsidRPr="007A4DB5">
        <w:rPr>
          <w:rFonts w:ascii="Times New Roman" w:eastAsia="Times New Roman" w:hAnsi="Times New Roman"/>
          <w:b/>
          <w:bCs/>
          <w:lang w:eastAsia="lv-LV"/>
        </w:rPr>
        <w:t>u SIA “</w:t>
      </w:r>
      <w:proofErr w:type="spellStart"/>
      <w:r w:rsidR="00460DB4" w:rsidRPr="007A4DB5">
        <w:rPr>
          <w:rFonts w:ascii="Times New Roman" w:eastAsia="Times New Roman" w:hAnsi="Times New Roman"/>
          <w:b/>
          <w:bCs/>
          <w:lang w:eastAsia="lv-LV"/>
        </w:rPr>
        <w:t>Prāna</w:t>
      </w:r>
      <w:proofErr w:type="spellEnd"/>
      <w:r w:rsidR="00460DB4" w:rsidRPr="007A4DB5">
        <w:rPr>
          <w:rFonts w:ascii="Times New Roman" w:eastAsia="Times New Roman" w:hAnsi="Times New Roman"/>
          <w:b/>
          <w:bCs/>
          <w:lang w:eastAsia="lv-LV"/>
        </w:rPr>
        <w:t xml:space="preserve"> Ko</w:t>
      </w:r>
      <w:r w:rsidR="00F77BA3" w:rsidRPr="007A4DB5">
        <w:rPr>
          <w:rFonts w:ascii="Times New Roman" w:eastAsia="Times New Roman" w:hAnsi="Times New Roman"/>
          <w:b/>
          <w:bCs/>
          <w:lang w:eastAsia="lv-LV"/>
        </w:rPr>
        <w:t xml:space="preserve">”, </w:t>
      </w:r>
      <w:r w:rsidR="003A20D0" w:rsidRPr="007A4DB5">
        <w:rPr>
          <w:rFonts w:ascii="Times New Roman" w:eastAsia="Times New Roman" w:hAnsi="Times New Roman"/>
          <w:bCs/>
          <w:lang w:eastAsia="lv-LV"/>
        </w:rPr>
        <w:t xml:space="preserve">kuram </w:t>
      </w:r>
      <w:r w:rsidR="00F77BA3" w:rsidRPr="007A4DB5">
        <w:rPr>
          <w:rFonts w:ascii="Times New Roman" w:eastAsia="Times New Roman" w:hAnsi="Times New Roman"/>
          <w:bCs/>
          <w:lang w:eastAsia="lv-LV"/>
        </w:rPr>
        <w:t>piešķiramas Iepirkuma līguma slēgšanas tiesības</w:t>
      </w:r>
      <w:r w:rsidR="0097576A" w:rsidRPr="007A4DB5">
        <w:rPr>
          <w:rFonts w:ascii="Times New Roman" w:eastAsia="Times New Roman" w:hAnsi="Times New Roman"/>
          <w:bCs/>
          <w:lang w:eastAsia="lv-LV"/>
        </w:rPr>
        <w:t xml:space="preserve"> Iepirkuma </w:t>
      </w:r>
      <w:r w:rsidR="0097576A" w:rsidRPr="007A4DB5">
        <w:rPr>
          <w:rFonts w:ascii="Times New Roman" w:hAnsi="Times New Roman"/>
          <w:b/>
          <w:bCs/>
        </w:rPr>
        <w:t>2.daļā “Medicīnas apģērbs un piederumi”</w:t>
      </w:r>
      <w:r w:rsidR="00F77BA3" w:rsidRPr="007A4DB5">
        <w:rPr>
          <w:rFonts w:ascii="Times New Roman" w:eastAsia="Times New Roman" w:hAnsi="Times New Roman"/>
          <w:bCs/>
          <w:lang w:eastAsia="lv-LV"/>
        </w:rPr>
        <w:t>,</w:t>
      </w:r>
      <w:r w:rsidR="00F77BA3" w:rsidRPr="007A4DB5">
        <w:rPr>
          <w:rFonts w:ascii="Times New Roman" w:hAnsi="Times New Roman"/>
          <w:b/>
          <w:sz w:val="22"/>
          <w:szCs w:val="22"/>
        </w:rPr>
        <w:t xml:space="preserve"> </w:t>
      </w:r>
      <w:r w:rsidR="00F77BA3" w:rsidRPr="007A4DB5">
        <w:rPr>
          <w:rFonts w:ascii="Times New Roman" w:eastAsia="Times New Roman" w:hAnsi="Times New Roman"/>
          <w:b/>
          <w:bCs/>
          <w:lang w:eastAsia="lv-LV"/>
        </w:rPr>
        <w:t>nav attiecināmi</w:t>
      </w:r>
      <w:r w:rsidR="00F77BA3" w:rsidRPr="007A4DB5">
        <w:rPr>
          <w:rFonts w:ascii="Times New Roman" w:eastAsia="Times New Roman" w:hAnsi="Times New Roman"/>
          <w:lang w:eastAsia="lv-LV"/>
        </w:rPr>
        <w:t>.</w:t>
      </w:r>
    </w:p>
    <w:p w:rsidR="003A4288" w:rsidRPr="007A4DB5" w:rsidRDefault="006E3950" w:rsidP="00F77BA3">
      <w:pPr>
        <w:pStyle w:val="ListParagraph"/>
        <w:numPr>
          <w:ilvl w:val="0"/>
          <w:numId w:val="3"/>
        </w:numPr>
        <w:spacing w:line="264" w:lineRule="auto"/>
        <w:ind w:left="340" w:hanging="340"/>
        <w:jc w:val="both"/>
        <w:rPr>
          <w:rFonts w:ascii="Times New Roman" w:hAnsi="Times New Roman"/>
          <w:b/>
        </w:rPr>
      </w:pPr>
      <w:r w:rsidRPr="007A4DB5">
        <w:rPr>
          <w:rFonts w:ascii="Times New Roman" w:hAnsi="Times New Roman"/>
          <w:b/>
        </w:rPr>
        <w:t xml:space="preserve">Komisija, ņemot vērā veikto pretendentu iesniegto piedāvājumu </w:t>
      </w:r>
      <w:proofErr w:type="spellStart"/>
      <w:r w:rsidRPr="007A4DB5">
        <w:rPr>
          <w:rFonts w:ascii="Times New Roman" w:hAnsi="Times New Roman"/>
          <w:b/>
        </w:rPr>
        <w:t>izvērtējumu</w:t>
      </w:r>
      <w:proofErr w:type="spellEnd"/>
      <w:r w:rsidRPr="007A4DB5">
        <w:rPr>
          <w:rFonts w:ascii="Times New Roman" w:hAnsi="Times New Roman"/>
          <w:b/>
        </w:rPr>
        <w:t xml:space="preserve">, kā arī pamatojoties uz PIL 9. panta trīspadsmito </w:t>
      </w:r>
      <w:r w:rsidR="007E0794" w:rsidRPr="007A4DB5">
        <w:rPr>
          <w:rFonts w:ascii="Times New Roman" w:hAnsi="Times New Roman"/>
          <w:b/>
        </w:rPr>
        <w:t xml:space="preserve">un piecpadsmito daļu </w:t>
      </w:r>
      <w:r w:rsidR="00C50732" w:rsidRPr="007A4DB5">
        <w:rPr>
          <w:rFonts w:ascii="Times New Roman" w:hAnsi="Times New Roman"/>
          <w:b/>
        </w:rPr>
        <w:t>un Nolikuma 6.</w:t>
      </w:r>
      <w:r w:rsidR="001F2C48" w:rsidRPr="007A4DB5">
        <w:rPr>
          <w:rFonts w:ascii="Times New Roman" w:hAnsi="Times New Roman"/>
          <w:b/>
        </w:rPr>
        <w:t>9 un 7.1.1</w:t>
      </w:r>
      <w:r w:rsidRPr="007A4DB5">
        <w:rPr>
          <w:rFonts w:ascii="Times New Roman" w:hAnsi="Times New Roman"/>
          <w:b/>
        </w:rPr>
        <w:t>.punktā noteikto, nolemj:</w:t>
      </w:r>
      <w:bookmarkStart w:id="0" w:name="_GoBack"/>
      <w:bookmarkEnd w:id="0"/>
    </w:p>
    <w:p w:rsidR="00BD54AF" w:rsidRPr="007A4DB5" w:rsidRDefault="00BD54AF" w:rsidP="00CC7EDC">
      <w:pPr>
        <w:pStyle w:val="ListParagraph"/>
        <w:numPr>
          <w:ilvl w:val="1"/>
          <w:numId w:val="3"/>
        </w:numPr>
        <w:spacing w:line="276" w:lineRule="auto"/>
        <w:ind w:left="822" w:hanging="482"/>
        <w:jc w:val="both"/>
        <w:rPr>
          <w:rFonts w:ascii="Times New Roman" w:hAnsi="Times New Roman"/>
        </w:rPr>
      </w:pPr>
      <w:r w:rsidRPr="007A4DB5">
        <w:rPr>
          <w:rFonts w:ascii="Times New Roman" w:hAnsi="Times New Roman"/>
        </w:rPr>
        <w:t>atzīt SIA “</w:t>
      </w:r>
      <w:proofErr w:type="spellStart"/>
      <w:r w:rsidRPr="007A4DB5">
        <w:rPr>
          <w:rFonts w:ascii="Times New Roman" w:hAnsi="Times New Roman"/>
        </w:rPr>
        <w:t>Prāna</w:t>
      </w:r>
      <w:proofErr w:type="spellEnd"/>
      <w:r w:rsidRPr="007A4DB5">
        <w:rPr>
          <w:rFonts w:ascii="Times New Roman" w:hAnsi="Times New Roman"/>
        </w:rPr>
        <w:t xml:space="preserve"> Ko” par uzvarētāju Iepirkuma </w:t>
      </w:r>
      <w:r w:rsidRPr="007A4DB5">
        <w:rPr>
          <w:rFonts w:ascii="Times New Roman" w:hAnsi="Times New Roman"/>
          <w:b/>
          <w:bCs/>
        </w:rPr>
        <w:t>2.daļā “Medicīnas apģērbs un piederumi”</w:t>
      </w:r>
      <w:r w:rsidRPr="007A4DB5">
        <w:rPr>
          <w:rFonts w:ascii="Times New Roman" w:hAnsi="Times New Roman"/>
        </w:rPr>
        <w:t>, jo tā piedāvājums atbilst visām Iepirkuma nolikumā noteiktajām prasībām un ir saimnieciski visizdevīgākais piedāvājums ar piedāvāto viszemāko vērtējamo cenu</w:t>
      </w:r>
      <w:r w:rsidR="000E7602" w:rsidRPr="007A4DB5">
        <w:rPr>
          <w:rFonts w:ascii="Times New Roman" w:hAnsi="Times New Roman"/>
        </w:rPr>
        <w:t xml:space="preserve"> </w:t>
      </w:r>
      <w:r w:rsidR="000E7602" w:rsidRPr="007A4DB5">
        <w:rPr>
          <w:rFonts w:ascii="Times New Roman" w:hAnsi="Times New Roman"/>
          <w:bCs/>
          <w:lang w:eastAsia="lv-LV"/>
        </w:rPr>
        <w:t xml:space="preserve">(finanšu piedāvājuma kopsumma) </w:t>
      </w:r>
      <w:r w:rsidRPr="007A4DB5">
        <w:rPr>
          <w:rFonts w:ascii="Times New Roman" w:hAnsi="Times New Roman"/>
        </w:rPr>
        <w:t xml:space="preserve">47,40 EUR (četrdesmit septiņi </w:t>
      </w:r>
      <w:proofErr w:type="spellStart"/>
      <w:r w:rsidRPr="007A4DB5">
        <w:rPr>
          <w:rFonts w:ascii="Times New Roman" w:hAnsi="Times New Roman"/>
          <w:i/>
          <w:iCs/>
        </w:rPr>
        <w:t>euro</w:t>
      </w:r>
      <w:proofErr w:type="spellEnd"/>
      <w:r w:rsidRPr="007A4DB5">
        <w:rPr>
          <w:rFonts w:ascii="Times New Roman" w:hAnsi="Times New Roman"/>
        </w:rPr>
        <w:t xml:space="preserve"> un četrdesmit centi), neieskaitot PVN, un piešķirt </w:t>
      </w:r>
      <w:r w:rsidRPr="007A4DB5">
        <w:rPr>
          <w:rFonts w:ascii="Times New Roman" w:hAnsi="Times New Roman"/>
          <w:b/>
          <w:bCs/>
        </w:rPr>
        <w:t>SIA “</w:t>
      </w:r>
      <w:proofErr w:type="spellStart"/>
      <w:r w:rsidRPr="007A4DB5">
        <w:rPr>
          <w:rFonts w:ascii="Times New Roman" w:hAnsi="Times New Roman"/>
          <w:b/>
          <w:bCs/>
        </w:rPr>
        <w:t>Prāna</w:t>
      </w:r>
      <w:proofErr w:type="spellEnd"/>
      <w:r w:rsidRPr="007A4DB5">
        <w:rPr>
          <w:rFonts w:ascii="Times New Roman" w:hAnsi="Times New Roman"/>
          <w:b/>
          <w:bCs/>
        </w:rPr>
        <w:t xml:space="preserve"> Ko”</w:t>
      </w:r>
      <w:r w:rsidRPr="007A4DB5">
        <w:rPr>
          <w:rFonts w:ascii="Times New Roman" w:hAnsi="Times New Roman"/>
        </w:rPr>
        <w:t xml:space="preserve"> līguma slēgšanas tiesības Iepirkuma </w:t>
      </w:r>
      <w:r w:rsidRPr="007A4DB5">
        <w:rPr>
          <w:rFonts w:ascii="Times New Roman" w:hAnsi="Times New Roman"/>
          <w:b/>
          <w:bCs/>
        </w:rPr>
        <w:t>2.daļā “Medicīnas apģērbs un piederumi”</w:t>
      </w:r>
      <w:r w:rsidRPr="007A4DB5">
        <w:rPr>
          <w:rFonts w:ascii="Times New Roman" w:hAnsi="Times New Roman"/>
        </w:rPr>
        <w:t>;</w:t>
      </w:r>
    </w:p>
    <w:p w:rsidR="00BD54AF" w:rsidRPr="007A4DB5" w:rsidRDefault="00BD54AF" w:rsidP="00BD54AF">
      <w:pPr>
        <w:pStyle w:val="ListParagraph"/>
        <w:numPr>
          <w:ilvl w:val="1"/>
          <w:numId w:val="3"/>
        </w:numPr>
        <w:spacing w:line="276" w:lineRule="auto"/>
        <w:ind w:left="822" w:hanging="482"/>
        <w:jc w:val="both"/>
        <w:rPr>
          <w:rFonts w:ascii="Times New Roman" w:hAnsi="Times New Roman"/>
        </w:rPr>
      </w:pPr>
      <w:r w:rsidRPr="007A4DB5">
        <w:rPr>
          <w:rFonts w:ascii="Times New Roman" w:hAnsi="Times New Roman"/>
        </w:rPr>
        <w:t xml:space="preserve">izbeigt bez rezultāta Iepirkumu </w:t>
      </w:r>
      <w:r w:rsidRPr="007A4DB5">
        <w:rPr>
          <w:rFonts w:ascii="Times New Roman" w:hAnsi="Times New Roman"/>
          <w:b/>
          <w:bCs/>
        </w:rPr>
        <w:t>1.daļā “Laboratorijas un dzīvnieku telpu apģērbs un piederumi”</w:t>
      </w:r>
      <w:r w:rsidRPr="007A4DB5">
        <w:rPr>
          <w:rFonts w:ascii="Times New Roman" w:hAnsi="Times New Roman"/>
        </w:rPr>
        <w:t>, jo šajā daļā vispār nav iesniegti piedāvājumi;</w:t>
      </w:r>
    </w:p>
    <w:p w:rsidR="00BD54AF" w:rsidRPr="007A4DB5" w:rsidRDefault="00BD54AF" w:rsidP="00BD54AF">
      <w:pPr>
        <w:pStyle w:val="ListParagraph"/>
        <w:numPr>
          <w:ilvl w:val="1"/>
          <w:numId w:val="3"/>
        </w:numPr>
        <w:spacing w:line="276" w:lineRule="auto"/>
        <w:ind w:left="822" w:hanging="482"/>
        <w:jc w:val="both"/>
        <w:rPr>
          <w:rFonts w:ascii="Times New Roman" w:hAnsi="Times New Roman"/>
        </w:rPr>
      </w:pPr>
      <w:r w:rsidRPr="007A4DB5">
        <w:rPr>
          <w:rFonts w:ascii="Times New Roman" w:hAnsi="Times New Roman"/>
        </w:rPr>
        <w:t xml:space="preserve">pārtraukt Iepirkumu </w:t>
      </w:r>
      <w:r w:rsidRPr="007A4DB5">
        <w:rPr>
          <w:rFonts w:ascii="Times New Roman" w:hAnsi="Times New Roman"/>
          <w:b/>
          <w:bCs/>
        </w:rPr>
        <w:t>3.daļā “Apkalpojošā personāla darba apģērbi”</w:t>
      </w:r>
      <w:r w:rsidRPr="007A4DB5">
        <w:rPr>
          <w:rFonts w:ascii="Times New Roman" w:hAnsi="Times New Roman"/>
        </w:rPr>
        <w:t xml:space="preserve"> un </w:t>
      </w:r>
      <w:r w:rsidRPr="007A4DB5">
        <w:rPr>
          <w:rFonts w:ascii="Times New Roman" w:hAnsi="Times New Roman"/>
          <w:b/>
          <w:bCs/>
        </w:rPr>
        <w:t xml:space="preserve">4.daļā “Apģērbs un apavi darbam </w:t>
      </w:r>
      <w:proofErr w:type="spellStart"/>
      <w:r w:rsidRPr="007A4DB5">
        <w:rPr>
          <w:rFonts w:ascii="Times New Roman" w:hAnsi="Times New Roman"/>
          <w:b/>
          <w:bCs/>
        </w:rPr>
        <w:t>ārtelpās</w:t>
      </w:r>
      <w:proofErr w:type="spellEnd"/>
      <w:r w:rsidRPr="007A4DB5">
        <w:rPr>
          <w:rFonts w:ascii="Times New Roman" w:hAnsi="Times New Roman"/>
          <w:b/>
          <w:bCs/>
        </w:rPr>
        <w:t>”</w:t>
      </w:r>
      <w:r w:rsidRPr="007A4DB5">
        <w:rPr>
          <w:rFonts w:ascii="Times New Roman" w:hAnsi="Times New Roman"/>
        </w:rPr>
        <w:t>, jo nepieciešami būtiski grozījumi iepirkuma tehniskajā specifikācijā;</w:t>
      </w:r>
    </w:p>
    <w:p w:rsidR="00BD54AF" w:rsidRPr="007A4DB5" w:rsidRDefault="00BD54AF" w:rsidP="00BD54AF">
      <w:pPr>
        <w:pStyle w:val="ListParagraph"/>
        <w:numPr>
          <w:ilvl w:val="1"/>
          <w:numId w:val="3"/>
        </w:numPr>
        <w:spacing w:line="276" w:lineRule="auto"/>
        <w:ind w:left="822" w:hanging="482"/>
        <w:jc w:val="both"/>
        <w:rPr>
          <w:rFonts w:ascii="Times New Roman" w:hAnsi="Times New Roman"/>
        </w:rPr>
      </w:pPr>
      <w:r w:rsidRPr="007A4DB5">
        <w:rPr>
          <w:rFonts w:ascii="Times New Roman" w:hAnsi="Times New Roman"/>
        </w:rPr>
        <w:t>triju darbdienu laikā informēt visus pretendentus par Kom</w:t>
      </w:r>
      <w:r w:rsidR="00397572" w:rsidRPr="007A4DB5">
        <w:rPr>
          <w:rFonts w:ascii="Times New Roman" w:hAnsi="Times New Roman"/>
        </w:rPr>
        <w:t>isijas pieņemto lēmumu Iepirkumā</w:t>
      </w:r>
      <w:r w:rsidRPr="007A4DB5">
        <w:rPr>
          <w:rFonts w:ascii="Times New Roman" w:hAnsi="Times New Roman"/>
        </w:rPr>
        <w:t xml:space="preserve"> un Latvijas Universitātes tīmekļvietnē internetā nodrošināt brīvu un tiešu elektronisku pieeju šim lēmumam;</w:t>
      </w:r>
    </w:p>
    <w:p w:rsidR="00BD54AF" w:rsidRPr="007A4DB5" w:rsidRDefault="00BD54AF" w:rsidP="00BD54AF">
      <w:pPr>
        <w:pStyle w:val="ListParagraph"/>
        <w:numPr>
          <w:ilvl w:val="1"/>
          <w:numId w:val="3"/>
        </w:numPr>
        <w:spacing w:line="276" w:lineRule="auto"/>
        <w:ind w:left="822" w:hanging="482"/>
        <w:jc w:val="both"/>
        <w:rPr>
          <w:rFonts w:ascii="Times New Roman" w:hAnsi="Times New Roman"/>
        </w:rPr>
      </w:pPr>
      <w:r w:rsidRPr="007A4DB5">
        <w:rPr>
          <w:rFonts w:ascii="Times New Roman" w:hAnsi="Times New Roman"/>
        </w:rPr>
        <w:t>desmit darbdienu laikā pēc tam, kad noslēgts iepirkuma līgums, publicēt Iepirkumu uzraudzības biroja mājaslapā internetā informatīvu paziņojumu par noslēgto līgumu;</w:t>
      </w:r>
    </w:p>
    <w:p w:rsidR="00BD54AF" w:rsidRPr="007A4DB5" w:rsidRDefault="00BD54AF" w:rsidP="00BD54AF">
      <w:pPr>
        <w:pStyle w:val="ListParagraph"/>
        <w:numPr>
          <w:ilvl w:val="1"/>
          <w:numId w:val="3"/>
        </w:numPr>
        <w:spacing w:line="276" w:lineRule="auto"/>
        <w:ind w:left="822" w:hanging="482"/>
        <w:jc w:val="both"/>
        <w:rPr>
          <w:rFonts w:ascii="Times New Roman" w:hAnsi="Times New Roman"/>
        </w:rPr>
      </w:pPr>
      <w:r w:rsidRPr="007A4DB5">
        <w:rPr>
          <w:rFonts w:ascii="Times New Roman" w:hAnsi="Times New Roman"/>
        </w:rPr>
        <w:t>desmit darbdienu laikā pēc tam, kad stājies spēkā iepirkuma līgums, ievietot Latvijas Universitātes tīmekļvietnē iepirkuma līguma tekstu, atbilstoši normatīvajos aktos noteiktajai kārtībai ievērojot komerc</w:t>
      </w:r>
      <w:r w:rsidR="00C5204A" w:rsidRPr="007A4DB5">
        <w:rPr>
          <w:rFonts w:ascii="Times New Roman" w:hAnsi="Times New Roman"/>
        </w:rPr>
        <w:t>noslēpuma aizsardzības prasības.</w:t>
      </w:r>
    </w:p>
    <w:p w:rsidR="006E3950" w:rsidRPr="007A4DB5" w:rsidRDefault="006E3950" w:rsidP="00F77BA3">
      <w:pPr>
        <w:pStyle w:val="ListParagraph"/>
        <w:numPr>
          <w:ilvl w:val="0"/>
          <w:numId w:val="3"/>
        </w:numPr>
        <w:spacing w:after="240" w:line="264" w:lineRule="auto"/>
        <w:ind w:left="340" w:hanging="340"/>
        <w:jc w:val="both"/>
        <w:rPr>
          <w:rFonts w:ascii="Times New Roman" w:hAnsi="Times New Roman"/>
          <w:b/>
        </w:rPr>
      </w:pPr>
      <w:r w:rsidRPr="007A4DB5">
        <w:rPr>
          <w:rFonts w:ascii="Times New Roman" w:eastAsia="Times New Roman" w:hAnsi="Times New Roman"/>
          <w:bCs/>
          <w:lang w:eastAsia="lv-LV"/>
        </w:rPr>
        <w:t>Saskaņā ar Publisko iepirkumu likuma 9.</w:t>
      </w:r>
      <w:r w:rsidRPr="007A4DB5">
        <w:rPr>
          <w:rFonts w:ascii="Times New Roman" w:eastAsia="Times New Roman" w:hAnsi="Times New Roman"/>
          <w:bCs/>
          <w:vertAlign w:val="superscript"/>
          <w:lang w:eastAsia="lv-LV"/>
        </w:rPr>
        <w:t xml:space="preserve"> </w:t>
      </w:r>
      <w:r w:rsidRPr="007A4DB5">
        <w:rPr>
          <w:rFonts w:ascii="Times New Roman" w:eastAsia="Times New Roman" w:hAnsi="Times New Roman"/>
          <w:bCs/>
          <w:lang w:eastAsia="lv-LV"/>
        </w:rPr>
        <w:t xml:space="preserve">panta divdesmit trešo daļu, </w:t>
      </w:r>
      <w:r w:rsidR="0011492F" w:rsidRPr="007A4DB5">
        <w:rPr>
          <w:rFonts w:ascii="Times New Roman" w:hAnsi="Times New Roman"/>
        </w:rPr>
        <w:t>p</w:t>
      </w:r>
      <w:r w:rsidRPr="007A4DB5">
        <w:rPr>
          <w:rFonts w:ascii="Times New Roman" w:hAnsi="Times New Roman"/>
        </w:rPr>
        <w:t xml:space="preserve">retendents, kurš iesniedzis piedāvājumu Iepirkumā, uz ko attiecas Publisko iepirkumu likuma 9. panta noteikumi, un kurš uzskata, ka ir aizskartas tā tiesības vai ir iespējams šo tiesību aizskārums, ir tiesīgs pārsūdzēt pieņemto lēmumu Administratīvajā rajona tiesā </w:t>
      </w:r>
      <w:hyperlink r:id="rId8" w:tgtFrame="_blank" w:history="1">
        <w:r w:rsidRPr="007A4DB5">
          <w:rPr>
            <w:rStyle w:val="Hyperlink"/>
            <w:rFonts w:ascii="Times New Roman" w:hAnsi="Times New Roman"/>
            <w:color w:val="auto"/>
            <w:u w:val="none"/>
          </w:rPr>
          <w:t>Administratīvā procesa likumā</w:t>
        </w:r>
      </w:hyperlink>
      <w:r w:rsidRPr="007A4DB5">
        <w:rPr>
          <w:rFonts w:ascii="Times New Roman" w:hAnsi="Times New Roman"/>
        </w:rPr>
        <w:t xml:space="preserve"> noteiktajā kārtībā mēneša laikā no lēmuma saņemšanas dienas. Administratīvās rajona tiesas nolēmumu var pārsūdzēt kasācijas kārtībā Augstākās tiesas Administratīvo lietu departamentā. Lēmuma pārsūdzēšana neaptur tā darbību.</w:t>
      </w:r>
    </w:p>
    <w:tbl>
      <w:tblPr>
        <w:tblW w:w="5200" w:type="pct"/>
        <w:tblInd w:w="-108" w:type="dxa"/>
        <w:tblLook w:val="04A0" w:firstRow="1" w:lastRow="0" w:firstColumn="1" w:lastColumn="0" w:noHBand="0" w:noVBand="1"/>
      </w:tblPr>
      <w:tblGrid>
        <w:gridCol w:w="3989"/>
        <w:gridCol w:w="3266"/>
        <w:gridCol w:w="2179"/>
      </w:tblGrid>
      <w:tr w:rsidR="007A4DB5" w:rsidRPr="007A4DB5" w:rsidTr="00B90F0A">
        <w:trPr>
          <w:trHeight w:val="567"/>
        </w:trPr>
        <w:tc>
          <w:tcPr>
            <w:tcW w:w="2114" w:type="pct"/>
            <w:shd w:val="clear" w:color="auto" w:fill="auto"/>
          </w:tcPr>
          <w:p w:rsidR="00B90F0A" w:rsidRPr="007A4DB5" w:rsidRDefault="00B90F0A" w:rsidP="00F77BA3">
            <w:pPr>
              <w:spacing w:line="264" w:lineRule="auto"/>
              <w:rPr>
                <w:rFonts w:ascii="Times New Roman" w:hAnsi="Times New Roman"/>
              </w:rPr>
            </w:pPr>
          </w:p>
          <w:p w:rsidR="00BE7259" w:rsidRPr="007A4DB5" w:rsidRDefault="00BE7259" w:rsidP="00F77BA3">
            <w:pPr>
              <w:spacing w:line="264" w:lineRule="auto"/>
              <w:rPr>
                <w:rFonts w:ascii="Times New Roman" w:hAnsi="Times New Roman"/>
              </w:rPr>
            </w:pPr>
            <w:r w:rsidRPr="007A4DB5">
              <w:rPr>
                <w:rFonts w:ascii="Times New Roman" w:hAnsi="Times New Roman"/>
              </w:rPr>
              <w:t>Komisijas priekšsēdētāja</w:t>
            </w:r>
            <w:r w:rsidR="00456016" w:rsidRPr="007A4DB5">
              <w:rPr>
                <w:rFonts w:ascii="Times New Roman" w:hAnsi="Times New Roman"/>
              </w:rPr>
              <w:t>:</w:t>
            </w:r>
          </w:p>
        </w:tc>
        <w:tc>
          <w:tcPr>
            <w:tcW w:w="1731" w:type="pct"/>
            <w:tcBorders>
              <w:bottom w:val="single" w:sz="4" w:space="0" w:color="auto"/>
            </w:tcBorders>
            <w:shd w:val="clear" w:color="auto" w:fill="auto"/>
          </w:tcPr>
          <w:p w:rsidR="00B90F0A" w:rsidRPr="007A4DB5" w:rsidRDefault="00B90F0A" w:rsidP="00F77BA3">
            <w:pPr>
              <w:spacing w:line="264" w:lineRule="auto"/>
              <w:jc w:val="center"/>
              <w:rPr>
                <w:rFonts w:ascii="Times New Roman" w:hAnsi="Times New Roman"/>
                <w:i/>
                <w:iCs/>
              </w:rPr>
            </w:pPr>
          </w:p>
          <w:p w:rsidR="00BE7259" w:rsidRPr="007A4DB5" w:rsidRDefault="00EA7BC0" w:rsidP="00F77BA3">
            <w:pPr>
              <w:spacing w:line="264" w:lineRule="auto"/>
              <w:jc w:val="center"/>
              <w:rPr>
                <w:rFonts w:ascii="Times New Roman" w:hAnsi="Times New Roman"/>
                <w:i/>
                <w:iCs/>
              </w:rPr>
            </w:pPr>
            <w:r w:rsidRPr="007A4DB5">
              <w:rPr>
                <w:rFonts w:ascii="Times New Roman" w:hAnsi="Times New Roman"/>
                <w:i/>
                <w:iCs/>
              </w:rPr>
              <w:t>(personiskais paraksts)</w:t>
            </w:r>
          </w:p>
        </w:tc>
        <w:tc>
          <w:tcPr>
            <w:tcW w:w="1155" w:type="pct"/>
            <w:shd w:val="clear" w:color="auto" w:fill="auto"/>
          </w:tcPr>
          <w:p w:rsidR="00B90F0A" w:rsidRPr="007A4DB5" w:rsidRDefault="00B90F0A" w:rsidP="00F77BA3">
            <w:pPr>
              <w:spacing w:line="264" w:lineRule="auto"/>
              <w:rPr>
                <w:rFonts w:ascii="Times New Roman" w:hAnsi="Times New Roman"/>
              </w:rPr>
            </w:pPr>
          </w:p>
          <w:p w:rsidR="00BE7259" w:rsidRPr="007A4DB5" w:rsidRDefault="00BE7259" w:rsidP="00F77BA3">
            <w:pPr>
              <w:spacing w:line="264" w:lineRule="auto"/>
              <w:rPr>
                <w:rFonts w:ascii="Times New Roman" w:hAnsi="Times New Roman"/>
              </w:rPr>
            </w:pPr>
            <w:r w:rsidRPr="007A4DB5">
              <w:rPr>
                <w:rFonts w:ascii="Times New Roman" w:hAnsi="Times New Roman"/>
              </w:rPr>
              <w:t>/B. Broka/</w:t>
            </w:r>
          </w:p>
        </w:tc>
      </w:tr>
      <w:tr w:rsidR="007A4DB5" w:rsidRPr="007A4DB5" w:rsidTr="00B90F0A">
        <w:trPr>
          <w:trHeight w:val="567"/>
        </w:trPr>
        <w:tc>
          <w:tcPr>
            <w:tcW w:w="2114" w:type="pct"/>
            <w:shd w:val="clear" w:color="auto" w:fill="auto"/>
          </w:tcPr>
          <w:p w:rsidR="00BE7259" w:rsidRPr="007A4DB5" w:rsidRDefault="00BE7259" w:rsidP="00F77BA3">
            <w:pPr>
              <w:spacing w:line="264" w:lineRule="auto"/>
              <w:rPr>
                <w:rFonts w:ascii="Times New Roman" w:hAnsi="Times New Roman"/>
              </w:rPr>
            </w:pPr>
          </w:p>
          <w:p w:rsidR="00BE7259" w:rsidRPr="007A4DB5" w:rsidRDefault="00BE7259" w:rsidP="00F77BA3">
            <w:pPr>
              <w:spacing w:line="264" w:lineRule="auto"/>
              <w:rPr>
                <w:rFonts w:ascii="Times New Roman" w:hAnsi="Times New Roman"/>
              </w:rPr>
            </w:pPr>
            <w:r w:rsidRPr="007A4DB5">
              <w:rPr>
                <w:rFonts w:ascii="Times New Roman" w:hAnsi="Times New Roman"/>
              </w:rPr>
              <w:t>Komisijas priekšsēdētājas vietniece</w:t>
            </w:r>
            <w:r w:rsidR="00456016" w:rsidRPr="007A4DB5">
              <w:rPr>
                <w:rFonts w:ascii="Times New Roman" w:hAnsi="Times New Roman"/>
              </w:rPr>
              <w:t>:</w:t>
            </w:r>
          </w:p>
        </w:tc>
        <w:tc>
          <w:tcPr>
            <w:tcW w:w="1731" w:type="pct"/>
            <w:tcBorders>
              <w:bottom w:val="single" w:sz="4" w:space="0" w:color="auto"/>
            </w:tcBorders>
            <w:shd w:val="clear" w:color="auto" w:fill="auto"/>
          </w:tcPr>
          <w:p w:rsidR="00BE7259" w:rsidRPr="007A4DB5" w:rsidRDefault="00BE7259" w:rsidP="00F77BA3">
            <w:pPr>
              <w:spacing w:line="264" w:lineRule="auto"/>
              <w:jc w:val="center"/>
              <w:rPr>
                <w:rFonts w:ascii="Times New Roman" w:hAnsi="Times New Roman"/>
              </w:rPr>
            </w:pPr>
          </w:p>
          <w:p w:rsidR="00597A6C" w:rsidRPr="007A4DB5" w:rsidRDefault="00EA7BC0" w:rsidP="00F77BA3">
            <w:pPr>
              <w:spacing w:line="264" w:lineRule="auto"/>
              <w:jc w:val="center"/>
              <w:rPr>
                <w:rFonts w:ascii="Times New Roman" w:hAnsi="Times New Roman"/>
              </w:rPr>
            </w:pPr>
            <w:r w:rsidRPr="007A4DB5">
              <w:rPr>
                <w:rFonts w:ascii="Times New Roman" w:hAnsi="Times New Roman"/>
                <w:i/>
                <w:iCs/>
              </w:rPr>
              <w:t>(personiskais paraksts)</w:t>
            </w:r>
          </w:p>
        </w:tc>
        <w:tc>
          <w:tcPr>
            <w:tcW w:w="1155" w:type="pct"/>
            <w:shd w:val="clear" w:color="auto" w:fill="auto"/>
          </w:tcPr>
          <w:p w:rsidR="00BE7259" w:rsidRPr="007A4DB5" w:rsidRDefault="00BE7259" w:rsidP="00F77BA3">
            <w:pPr>
              <w:spacing w:line="264" w:lineRule="auto"/>
              <w:rPr>
                <w:rFonts w:ascii="Times New Roman" w:hAnsi="Times New Roman"/>
              </w:rPr>
            </w:pPr>
          </w:p>
          <w:p w:rsidR="00BE7259" w:rsidRPr="007A4DB5" w:rsidRDefault="00BE7259" w:rsidP="00F77BA3">
            <w:pPr>
              <w:spacing w:line="264" w:lineRule="auto"/>
              <w:rPr>
                <w:rFonts w:ascii="Times New Roman" w:hAnsi="Times New Roman"/>
              </w:rPr>
            </w:pPr>
            <w:r w:rsidRPr="007A4DB5">
              <w:rPr>
                <w:rFonts w:ascii="Times New Roman" w:hAnsi="Times New Roman"/>
              </w:rPr>
              <w:t>/A. Ozola/</w:t>
            </w:r>
          </w:p>
        </w:tc>
      </w:tr>
      <w:tr w:rsidR="007A4DB5" w:rsidRPr="007A4DB5" w:rsidTr="00B90F0A">
        <w:trPr>
          <w:trHeight w:val="567"/>
        </w:trPr>
        <w:tc>
          <w:tcPr>
            <w:tcW w:w="2114" w:type="pct"/>
            <w:shd w:val="clear" w:color="auto" w:fill="auto"/>
          </w:tcPr>
          <w:p w:rsidR="00BE7259" w:rsidRPr="007A4DB5" w:rsidRDefault="00BE7259" w:rsidP="00F77BA3">
            <w:pPr>
              <w:spacing w:line="264" w:lineRule="auto"/>
              <w:rPr>
                <w:rFonts w:ascii="Times New Roman" w:hAnsi="Times New Roman"/>
              </w:rPr>
            </w:pPr>
          </w:p>
          <w:p w:rsidR="00BE7259" w:rsidRPr="007A4DB5" w:rsidRDefault="00BE7259" w:rsidP="00F77BA3">
            <w:pPr>
              <w:spacing w:line="264" w:lineRule="auto"/>
              <w:rPr>
                <w:rFonts w:ascii="Times New Roman" w:hAnsi="Times New Roman"/>
              </w:rPr>
            </w:pPr>
            <w:r w:rsidRPr="007A4DB5">
              <w:rPr>
                <w:rFonts w:ascii="Times New Roman" w:hAnsi="Times New Roman"/>
              </w:rPr>
              <w:t>Komisijas locekļi:</w:t>
            </w:r>
          </w:p>
        </w:tc>
        <w:tc>
          <w:tcPr>
            <w:tcW w:w="1731" w:type="pct"/>
            <w:tcBorders>
              <w:bottom w:val="single" w:sz="4" w:space="0" w:color="auto"/>
            </w:tcBorders>
            <w:shd w:val="clear" w:color="auto" w:fill="auto"/>
          </w:tcPr>
          <w:p w:rsidR="00BE7259" w:rsidRPr="007A4DB5" w:rsidRDefault="00BE7259" w:rsidP="00F77BA3">
            <w:pPr>
              <w:spacing w:line="264" w:lineRule="auto"/>
              <w:jc w:val="center"/>
              <w:rPr>
                <w:rFonts w:ascii="Times New Roman" w:hAnsi="Times New Roman"/>
              </w:rPr>
            </w:pPr>
          </w:p>
          <w:p w:rsidR="00597A6C" w:rsidRPr="007A4DB5" w:rsidRDefault="00EA7BC0" w:rsidP="00F77BA3">
            <w:pPr>
              <w:spacing w:line="264" w:lineRule="auto"/>
              <w:jc w:val="center"/>
              <w:rPr>
                <w:rFonts w:ascii="Times New Roman" w:hAnsi="Times New Roman"/>
              </w:rPr>
            </w:pPr>
            <w:r w:rsidRPr="007A4DB5">
              <w:rPr>
                <w:rFonts w:ascii="Times New Roman" w:hAnsi="Times New Roman"/>
                <w:i/>
                <w:iCs/>
              </w:rPr>
              <w:t>(personiskais paraksts)</w:t>
            </w:r>
          </w:p>
        </w:tc>
        <w:tc>
          <w:tcPr>
            <w:tcW w:w="1155" w:type="pct"/>
            <w:shd w:val="clear" w:color="auto" w:fill="auto"/>
          </w:tcPr>
          <w:p w:rsidR="00BE7259" w:rsidRPr="007A4DB5" w:rsidRDefault="00BE7259" w:rsidP="00F77BA3">
            <w:pPr>
              <w:spacing w:line="264" w:lineRule="auto"/>
              <w:rPr>
                <w:rFonts w:ascii="Times New Roman" w:hAnsi="Times New Roman"/>
              </w:rPr>
            </w:pPr>
          </w:p>
          <w:p w:rsidR="00BE7259" w:rsidRPr="007A4DB5" w:rsidRDefault="00BE7259" w:rsidP="00F77BA3">
            <w:pPr>
              <w:spacing w:line="264" w:lineRule="auto"/>
              <w:rPr>
                <w:rFonts w:ascii="Times New Roman" w:hAnsi="Times New Roman"/>
              </w:rPr>
            </w:pPr>
            <w:r w:rsidRPr="007A4DB5">
              <w:rPr>
                <w:rFonts w:ascii="Times New Roman" w:hAnsi="Times New Roman"/>
              </w:rPr>
              <w:t>/A. Brakša/</w:t>
            </w:r>
          </w:p>
        </w:tc>
      </w:tr>
      <w:tr w:rsidR="007A4DB5" w:rsidRPr="007A4DB5" w:rsidTr="00B90F0A">
        <w:trPr>
          <w:trHeight w:val="567"/>
        </w:trPr>
        <w:tc>
          <w:tcPr>
            <w:tcW w:w="2114" w:type="pct"/>
            <w:shd w:val="clear" w:color="auto" w:fill="auto"/>
          </w:tcPr>
          <w:p w:rsidR="00BE7259" w:rsidRPr="007A4DB5" w:rsidRDefault="00BE7259" w:rsidP="00F77BA3">
            <w:pPr>
              <w:spacing w:line="264" w:lineRule="auto"/>
              <w:rPr>
                <w:rFonts w:ascii="Times New Roman" w:hAnsi="Times New Roman"/>
              </w:rPr>
            </w:pPr>
          </w:p>
          <w:p w:rsidR="00BE7259" w:rsidRPr="007A4DB5" w:rsidRDefault="00BE7259" w:rsidP="00F77BA3">
            <w:pPr>
              <w:spacing w:line="264" w:lineRule="auto"/>
              <w:rPr>
                <w:rFonts w:ascii="Times New Roman" w:hAnsi="Times New Roman"/>
              </w:rPr>
            </w:pPr>
          </w:p>
        </w:tc>
        <w:tc>
          <w:tcPr>
            <w:tcW w:w="1731" w:type="pct"/>
            <w:tcBorders>
              <w:bottom w:val="single" w:sz="4" w:space="0" w:color="auto"/>
            </w:tcBorders>
            <w:shd w:val="clear" w:color="auto" w:fill="auto"/>
          </w:tcPr>
          <w:p w:rsidR="00BE7259" w:rsidRPr="007A4DB5" w:rsidRDefault="00BE7259" w:rsidP="00F77BA3">
            <w:pPr>
              <w:spacing w:line="264" w:lineRule="auto"/>
              <w:jc w:val="center"/>
              <w:rPr>
                <w:rFonts w:ascii="Times New Roman" w:hAnsi="Times New Roman"/>
              </w:rPr>
            </w:pPr>
          </w:p>
          <w:p w:rsidR="00597A6C" w:rsidRPr="007A4DB5" w:rsidRDefault="00EA7BC0" w:rsidP="00F77BA3">
            <w:pPr>
              <w:spacing w:line="264" w:lineRule="auto"/>
              <w:jc w:val="center"/>
              <w:rPr>
                <w:rFonts w:ascii="Times New Roman" w:hAnsi="Times New Roman"/>
              </w:rPr>
            </w:pPr>
            <w:r w:rsidRPr="007A4DB5">
              <w:rPr>
                <w:rFonts w:ascii="Times New Roman" w:hAnsi="Times New Roman"/>
                <w:i/>
                <w:iCs/>
              </w:rPr>
              <w:t>(personiskais paraksts)</w:t>
            </w:r>
          </w:p>
        </w:tc>
        <w:tc>
          <w:tcPr>
            <w:tcW w:w="1155" w:type="pct"/>
            <w:shd w:val="clear" w:color="auto" w:fill="auto"/>
          </w:tcPr>
          <w:p w:rsidR="00BE7259" w:rsidRPr="007A4DB5" w:rsidRDefault="00BE7259" w:rsidP="00F77BA3">
            <w:pPr>
              <w:spacing w:line="264" w:lineRule="auto"/>
              <w:rPr>
                <w:rFonts w:ascii="Times New Roman" w:hAnsi="Times New Roman"/>
              </w:rPr>
            </w:pPr>
          </w:p>
          <w:p w:rsidR="00BE7259" w:rsidRPr="007A4DB5" w:rsidRDefault="00BE7259" w:rsidP="00F77BA3">
            <w:pPr>
              <w:spacing w:line="264" w:lineRule="auto"/>
              <w:rPr>
                <w:rFonts w:ascii="Times New Roman" w:hAnsi="Times New Roman"/>
              </w:rPr>
            </w:pPr>
            <w:r w:rsidRPr="007A4DB5">
              <w:rPr>
                <w:rFonts w:ascii="Times New Roman" w:hAnsi="Times New Roman"/>
              </w:rPr>
              <w:t>/</w:t>
            </w:r>
            <w:r w:rsidR="000A1043" w:rsidRPr="007A4DB5">
              <w:rPr>
                <w:rFonts w:ascii="Times New Roman" w:hAnsi="Times New Roman"/>
              </w:rPr>
              <w:t>A. Kuziks</w:t>
            </w:r>
            <w:r w:rsidRPr="007A4DB5">
              <w:rPr>
                <w:rFonts w:ascii="Times New Roman" w:hAnsi="Times New Roman"/>
              </w:rPr>
              <w:t>/</w:t>
            </w:r>
          </w:p>
        </w:tc>
      </w:tr>
      <w:tr w:rsidR="007A4DB5" w:rsidRPr="007A4DB5" w:rsidTr="00B90F0A">
        <w:trPr>
          <w:trHeight w:val="567"/>
        </w:trPr>
        <w:tc>
          <w:tcPr>
            <w:tcW w:w="2114" w:type="pct"/>
            <w:shd w:val="clear" w:color="auto" w:fill="auto"/>
          </w:tcPr>
          <w:p w:rsidR="00BE7259" w:rsidRPr="007A4DB5" w:rsidRDefault="00BE7259" w:rsidP="00F77BA3">
            <w:pPr>
              <w:spacing w:line="264" w:lineRule="auto"/>
              <w:rPr>
                <w:rFonts w:ascii="Times New Roman" w:hAnsi="Times New Roman"/>
              </w:rPr>
            </w:pPr>
          </w:p>
          <w:p w:rsidR="00BE7259" w:rsidRPr="007A4DB5" w:rsidRDefault="00BE7259" w:rsidP="00F77BA3">
            <w:pPr>
              <w:spacing w:line="264" w:lineRule="auto"/>
              <w:rPr>
                <w:rFonts w:ascii="Times New Roman" w:hAnsi="Times New Roman"/>
              </w:rPr>
            </w:pPr>
          </w:p>
        </w:tc>
        <w:tc>
          <w:tcPr>
            <w:tcW w:w="1731" w:type="pct"/>
            <w:tcBorders>
              <w:bottom w:val="single" w:sz="4" w:space="0" w:color="auto"/>
            </w:tcBorders>
            <w:shd w:val="clear" w:color="auto" w:fill="auto"/>
          </w:tcPr>
          <w:p w:rsidR="00BE7259" w:rsidRPr="007A4DB5" w:rsidRDefault="00BE7259" w:rsidP="00F77BA3">
            <w:pPr>
              <w:spacing w:line="264" w:lineRule="auto"/>
              <w:jc w:val="center"/>
              <w:rPr>
                <w:rFonts w:ascii="Times New Roman" w:hAnsi="Times New Roman"/>
              </w:rPr>
            </w:pPr>
          </w:p>
          <w:p w:rsidR="00597A6C" w:rsidRPr="007A4DB5" w:rsidRDefault="00EA7BC0" w:rsidP="00F77BA3">
            <w:pPr>
              <w:spacing w:line="264" w:lineRule="auto"/>
              <w:jc w:val="center"/>
              <w:rPr>
                <w:rFonts w:ascii="Times New Roman" w:hAnsi="Times New Roman"/>
              </w:rPr>
            </w:pPr>
            <w:r w:rsidRPr="007A4DB5">
              <w:rPr>
                <w:rFonts w:ascii="Times New Roman" w:hAnsi="Times New Roman"/>
                <w:i/>
                <w:iCs/>
              </w:rPr>
              <w:t>(personiskais paraksts)</w:t>
            </w:r>
          </w:p>
        </w:tc>
        <w:tc>
          <w:tcPr>
            <w:tcW w:w="1155" w:type="pct"/>
            <w:shd w:val="clear" w:color="auto" w:fill="auto"/>
          </w:tcPr>
          <w:p w:rsidR="00BE7259" w:rsidRPr="007A4DB5" w:rsidRDefault="00BE7259" w:rsidP="00F77BA3">
            <w:pPr>
              <w:spacing w:line="264" w:lineRule="auto"/>
              <w:rPr>
                <w:rFonts w:ascii="Times New Roman" w:hAnsi="Times New Roman"/>
              </w:rPr>
            </w:pPr>
          </w:p>
          <w:p w:rsidR="00BE7259" w:rsidRPr="007A4DB5" w:rsidRDefault="00BE7259" w:rsidP="00F77BA3">
            <w:pPr>
              <w:spacing w:line="264" w:lineRule="auto"/>
              <w:rPr>
                <w:rFonts w:ascii="Times New Roman" w:hAnsi="Times New Roman"/>
              </w:rPr>
            </w:pPr>
            <w:r w:rsidRPr="007A4DB5">
              <w:rPr>
                <w:rFonts w:ascii="Times New Roman" w:hAnsi="Times New Roman"/>
              </w:rPr>
              <w:t>/</w:t>
            </w:r>
            <w:r w:rsidR="000A1043" w:rsidRPr="007A4DB5">
              <w:rPr>
                <w:rFonts w:ascii="Times New Roman" w:hAnsi="Times New Roman"/>
              </w:rPr>
              <w:t>A. </w:t>
            </w:r>
            <w:proofErr w:type="spellStart"/>
            <w:r w:rsidR="000A1043" w:rsidRPr="007A4DB5">
              <w:rPr>
                <w:rFonts w:ascii="Times New Roman" w:hAnsi="Times New Roman"/>
              </w:rPr>
              <w:t>Andržejevska</w:t>
            </w:r>
            <w:proofErr w:type="spellEnd"/>
            <w:r w:rsidRPr="007A4DB5">
              <w:rPr>
                <w:rFonts w:ascii="Times New Roman" w:hAnsi="Times New Roman"/>
              </w:rPr>
              <w:t>/</w:t>
            </w:r>
          </w:p>
        </w:tc>
      </w:tr>
      <w:tr w:rsidR="007A4DB5" w:rsidRPr="007A4DB5" w:rsidTr="00B90F0A">
        <w:trPr>
          <w:trHeight w:val="567"/>
        </w:trPr>
        <w:tc>
          <w:tcPr>
            <w:tcW w:w="2114" w:type="pct"/>
            <w:shd w:val="clear" w:color="auto" w:fill="auto"/>
          </w:tcPr>
          <w:p w:rsidR="000F089C" w:rsidRPr="007A4DB5" w:rsidRDefault="000F089C" w:rsidP="00F77BA3">
            <w:pPr>
              <w:spacing w:line="264" w:lineRule="auto"/>
              <w:rPr>
                <w:rFonts w:ascii="Times New Roman" w:hAnsi="Times New Roman"/>
              </w:rPr>
            </w:pPr>
          </w:p>
        </w:tc>
        <w:tc>
          <w:tcPr>
            <w:tcW w:w="1731" w:type="pct"/>
            <w:tcBorders>
              <w:bottom w:val="single" w:sz="4" w:space="0" w:color="auto"/>
            </w:tcBorders>
            <w:shd w:val="clear" w:color="auto" w:fill="auto"/>
          </w:tcPr>
          <w:p w:rsidR="007A4DB5" w:rsidRDefault="007A4DB5" w:rsidP="00F77BA3">
            <w:pPr>
              <w:spacing w:line="264" w:lineRule="auto"/>
              <w:jc w:val="center"/>
              <w:rPr>
                <w:rFonts w:ascii="Times New Roman" w:hAnsi="Times New Roman"/>
                <w:i/>
                <w:iCs/>
              </w:rPr>
            </w:pPr>
          </w:p>
          <w:p w:rsidR="000F089C" w:rsidRPr="007A4DB5" w:rsidRDefault="007A4DB5" w:rsidP="00F77BA3">
            <w:pPr>
              <w:spacing w:line="264" w:lineRule="auto"/>
              <w:jc w:val="center"/>
              <w:rPr>
                <w:rFonts w:ascii="Times New Roman" w:hAnsi="Times New Roman"/>
              </w:rPr>
            </w:pPr>
            <w:r w:rsidRPr="007A4DB5">
              <w:rPr>
                <w:rFonts w:ascii="Times New Roman" w:hAnsi="Times New Roman"/>
                <w:i/>
                <w:iCs/>
              </w:rPr>
              <w:t>(personiskais paraksts)</w:t>
            </w:r>
          </w:p>
        </w:tc>
        <w:tc>
          <w:tcPr>
            <w:tcW w:w="1155" w:type="pct"/>
            <w:shd w:val="clear" w:color="auto" w:fill="auto"/>
          </w:tcPr>
          <w:p w:rsidR="000F089C" w:rsidRPr="007A4DB5" w:rsidRDefault="000F089C" w:rsidP="00F77BA3">
            <w:pPr>
              <w:spacing w:line="264" w:lineRule="auto"/>
              <w:rPr>
                <w:rFonts w:ascii="Times New Roman" w:hAnsi="Times New Roman"/>
              </w:rPr>
            </w:pPr>
          </w:p>
          <w:p w:rsidR="000F089C" w:rsidRPr="007A4DB5" w:rsidRDefault="000F089C" w:rsidP="00F77BA3">
            <w:pPr>
              <w:spacing w:line="264" w:lineRule="auto"/>
              <w:rPr>
                <w:rFonts w:ascii="Times New Roman" w:hAnsi="Times New Roman"/>
              </w:rPr>
            </w:pPr>
            <w:r w:rsidRPr="007A4DB5">
              <w:rPr>
                <w:rFonts w:ascii="Times New Roman" w:hAnsi="Times New Roman"/>
              </w:rPr>
              <w:t>/S. Ulmane/</w:t>
            </w:r>
          </w:p>
        </w:tc>
      </w:tr>
      <w:tr w:rsidR="007A4DB5" w:rsidRPr="007A4DB5" w:rsidTr="00B90F0A">
        <w:trPr>
          <w:trHeight w:val="567"/>
        </w:trPr>
        <w:tc>
          <w:tcPr>
            <w:tcW w:w="2114" w:type="pct"/>
            <w:shd w:val="clear" w:color="auto" w:fill="auto"/>
          </w:tcPr>
          <w:p w:rsidR="00BE7259" w:rsidRPr="007A4DB5" w:rsidRDefault="00BE7259" w:rsidP="00F77BA3">
            <w:pPr>
              <w:spacing w:line="264" w:lineRule="auto"/>
              <w:rPr>
                <w:rFonts w:ascii="Times New Roman" w:hAnsi="Times New Roman"/>
                <w:iCs/>
              </w:rPr>
            </w:pPr>
          </w:p>
          <w:p w:rsidR="00BE7259" w:rsidRPr="007A4DB5" w:rsidRDefault="00BE7259" w:rsidP="00F77BA3">
            <w:pPr>
              <w:spacing w:line="264" w:lineRule="auto"/>
              <w:rPr>
                <w:rFonts w:ascii="Times New Roman" w:hAnsi="Times New Roman"/>
              </w:rPr>
            </w:pPr>
            <w:r w:rsidRPr="007A4DB5">
              <w:rPr>
                <w:rFonts w:ascii="Times New Roman" w:hAnsi="Times New Roman"/>
                <w:iCs/>
              </w:rPr>
              <w:t>Komisijas sekretāre:</w:t>
            </w:r>
          </w:p>
        </w:tc>
        <w:tc>
          <w:tcPr>
            <w:tcW w:w="1731" w:type="pct"/>
            <w:tcBorders>
              <w:bottom w:val="single" w:sz="4" w:space="0" w:color="auto"/>
            </w:tcBorders>
            <w:shd w:val="clear" w:color="auto" w:fill="auto"/>
          </w:tcPr>
          <w:p w:rsidR="00D002D0" w:rsidRPr="007A4DB5" w:rsidRDefault="00D002D0" w:rsidP="00F77BA3">
            <w:pPr>
              <w:spacing w:line="264" w:lineRule="auto"/>
              <w:jc w:val="center"/>
              <w:rPr>
                <w:rFonts w:ascii="Times New Roman" w:hAnsi="Times New Roman"/>
              </w:rPr>
            </w:pPr>
          </w:p>
          <w:p w:rsidR="00BE7259" w:rsidRPr="007A4DB5" w:rsidRDefault="00EA7BC0" w:rsidP="00F77BA3">
            <w:pPr>
              <w:spacing w:line="264" w:lineRule="auto"/>
              <w:jc w:val="center"/>
              <w:rPr>
                <w:rFonts w:ascii="Times New Roman" w:hAnsi="Times New Roman"/>
              </w:rPr>
            </w:pPr>
            <w:r w:rsidRPr="007A4DB5">
              <w:rPr>
                <w:rFonts w:ascii="Times New Roman" w:hAnsi="Times New Roman"/>
                <w:i/>
                <w:iCs/>
              </w:rPr>
              <w:t>(personiskais paraksts)</w:t>
            </w:r>
          </w:p>
        </w:tc>
        <w:tc>
          <w:tcPr>
            <w:tcW w:w="1155" w:type="pct"/>
            <w:shd w:val="clear" w:color="auto" w:fill="auto"/>
          </w:tcPr>
          <w:p w:rsidR="00BE7259" w:rsidRPr="007A4DB5" w:rsidRDefault="00BE7259" w:rsidP="00F77BA3">
            <w:pPr>
              <w:spacing w:line="264" w:lineRule="auto"/>
              <w:rPr>
                <w:rFonts w:ascii="Times New Roman" w:hAnsi="Times New Roman"/>
              </w:rPr>
            </w:pPr>
          </w:p>
          <w:p w:rsidR="00BE7259" w:rsidRPr="007A4DB5" w:rsidRDefault="00BE7259" w:rsidP="00F77BA3">
            <w:pPr>
              <w:spacing w:line="264" w:lineRule="auto"/>
              <w:rPr>
                <w:rFonts w:ascii="Times New Roman" w:hAnsi="Times New Roman"/>
              </w:rPr>
            </w:pPr>
            <w:r w:rsidRPr="007A4DB5">
              <w:rPr>
                <w:rFonts w:ascii="Times New Roman" w:hAnsi="Times New Roman"/>
              </w:rPr>
              <w:t>/</w:t>
            </w:r>
            <w:r w:rsidR="00EA7BC0" w:rsidRPr="007A4DB5">
              <w:rPr>
                <w:rFonts w:ascii="Times New Roman" w:hAnsi="Times New Roman"/>
              </w:rPr>
              <w:t>S. Veide</w:t>
            </w:r>
            <w:r w:rsidRPr="007A4DB5">
              <w:rPr>
                <w:rFonts w:ascii="Times New Roman" w:hAnsi="Times New Roman"/>
              </w:rPr>
              <w:t>/</w:t>
            </w:r>
          </w:p>
        </w:tc>
      </w:tr>
    </w:tbl>
    <w:p w:rsidR="008973FD" w:rsidRPr="007A4DB5" w:rsidRDefault="008973FD" w:rsidP="00F77BA3">
      <w:pPr>
        <w:tabs>
          <w:tab w:val="left" w:pos="1640"/>
        </w:tabs>
        <w:spacing w:line="264" w:lineRule="auto"/>
        <w:rPr>
          <w:rFonts w:ascii="Times New Roman" w:hAnsi="Times New Roman"/>
        </w:rPr>
      </w:pPr>
    </w:p>
    <w:sectPr w:rsidR="008973FD" w:rsidRPr="007A4DB5" w:rsidSect="00A1442E">
      <w:footerReference w:type="default" r:id="rId9"/>
      <w:head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8A8" w:rsidRDefault="00B708A8" w:rsidP="006033D8">
      <w:r>
        <w:separator/>
      </w:r>
    </w:p>
  </w:endnote>
  <w:endnote w:type="continuationSeparator" w:id="0">
    <w:p w:rsidR="00B708A8" w:rsidRDefault="00B708A8"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DF4EE7" w:rsidRDefault="006033D8" w:rsidP="00DF4EE7">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925C18">
          <w:rPr>
            <w:rFonts w:ascii="Times New Roman" w:hAnsi="Times New Roman"/>
            <w:noProof/>
          </w:rPr>
          <w:t>3</w:t>
        </w:r>
        <w:r w:rsidRPr="006033D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8A8" w:rsidRDefault="00B708A8" w:rsidP="006033D8">
      <w:r>
        <w:separator/>
      </w:r>
    </w:p>
  </w:footnote>
  <w:footnote w:type="continuationSeparator" w:id="0">
    <w:p w:rsidR="00B708A8" w:rsidRDefault="00B708A8" w:rsidP="00603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397" w:rsidRPr="0046757B" w:rsidRDefault="006A5397" w:rsidP="0046757B">
    <w:pPr>
      <w:pStyle w:val="Header"/>
      <w:tabs>
        <w:tab w:val="left" w:pos="5280"/>
        <w:tab w:val="left" w:pos="7065"/>
        <w:tab w:val="right" w:pos="9071"/>
      </w:tabs>
      <w:jc w:val="right"/>
      <w:rPr>
        <w:rFonts w:ascii="Times New Roman" w:hAnsi="Times New Roman"/>
        <w:b/>
        <w:bCs/>
      </w:rPr>
    </w:pPr>
    <w:r w:rsidRPr="0046757B">
      <w:rPr>
        <w:rFonts w:ascii="Times New Roman" w:hAnsi="Times New Roman"/>
        <w:b/>
        <w:bCs/>
      </w:rPr>
      <w:t>IZRAKSTS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5F64CB"/>
    <w:multiLevelType w:val="hybridMultilevel"/>
    <w:tmpl w:val="AE8EFC06"/>
    <w:lvl w:ilvl="0" w:tplc="FDE60F30">
      <w:start w:val="14"/>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A6551"/>
    <w:multiLevelType w:val="hybridMultilevel"/>
    <w:tmpl w:val="C46CD4B2"/>
    <w:lvl w:ilvl="0" w:tplc="2DCC5344">
      <w:start w:val="1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43085"/>
    <w:multiLevelType w:val="hybridMultilevel"/>
    <w:tmpl w:val="6FD0D69A"/>
    <w:lvl w:ilvl="0" w:tplc="CE147B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C036EB6"/>
    <w:multiLevelType w:val="multilevel"/>
    <w:tmpl w:val="1958AE2A"/>
    <w:lvl w:ilvl="0">
      <w:start w:val="6"/>
      <w:numFmt w:val="decimal"/>
      <w:lvlText w:val="%1."/>
      <w:lvlJc w:val="left"/>
      <w:pPr>
        <w:ind w:left="840" w:hanging="840"/>
      </w:pPr>
      <w:rPr>
        <w:rFonts w:hint="default"/>
      </w:rPr>
    </w:lvl>
    <w:lvl w:ilvl="1">
      <w:start w:val="1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 w15:restartNumberingAfterBreak="0">
    <w:nsid w:val="0D937450"/>
    <w:multiLevelType w:val="hybridMultilevel"/>
    <w:tmpl w:val="3626B8D2"/>
    <w:lvl w:ilvl="0" w:tplc="C27A7ACE">
      <w:start w:val="1"/>
      <w:numFmt w:val="decimal"/>
      <w:lvlText w:val="%1)"/>
      <w:lvlJc w:val="left"/>
      <w:pPr>
        <w:ind w:left="720" w:hanging="360"/>
      </w:pPr>
      <w:rPr>
        <w:rFonts w:ascii="Times New Roman" w:eastAsia="Cambria"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D1B4A0E"/>
    <w:multiLevelType w:val="multilevel"/>
    <w:tmpl w:val="5F4EA418"/>
    <w:lvl w:ilvl="0">
      <w:start w:val="1"/>
      <w:numFmt w:val="decimal"/>
      <w:lvlText w:val="%1."/>
      <w:lvlJc w:val="left"/>
      <w:pPr>
        <w:ind w:left="360" w:hanging="360"/>
      </w:pPr>
      <w:rPr>
        <w:rFonts w:hint="default"/>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F00125"/>
    <w:multiLevelType w:val="multilevel"/>
    <w:tmpl w:val="1958AE2A"/>
    <w:lvl w:ilvl="0">
      <w:start w:val="6"/>
      <w:numFmt w:val="decimal"/>
      <w:lvlText w:val="%1."/>
      <w:lvlJc w:val="left"/>
      <w:pPr>
        <w:ind w:left="840" w:hanging="840"/>
      </w:pPr>
      <w:rPr>
        <w:rFonts w:hint="default"/>
      </w:rPr>
    </w:lvl>
    <w:lvl w:ilvl="1">
      <w:start w:val="1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561C69"/>
    <w:multiLevelType w:val="multilevel"/>
    <w:tmpl w:val="814EF36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3D74EB7"/>
    <w:multiLevelType w:val="multilevel"/>
    <w:tmpl w:val="5EF0B7E8"/>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AFB3C96"/>
    <w:multiLevelType w:val="hybridMultilevel"/>
    <w:tmpl w:val="1250FFB6"/>
    <w:lvl w:ilvl="0" w:tplc="E7C4DFB4">
      <w:start w:val="1"/>
      <w:numFmt w:val="decimal"/>
      <w:lvlText w:val="2.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F702F5"/>
    <w:multiLevelType w:val="hybridMultilevel"/>
    <w:tmpl w:val="2252063E"/>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6694897"/>
    <w:multiLevelType w:val="multilevel"/>
    <w:tmpl w:val="A4527CF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20"/>
  </w:num>
  <w:num w:numId="5">
    <w:abstractNumId w:val="14"/>
  </w:num>
  <w:num w:numId="6">
    <w:abstractNumId w:val="17"/>
  </w:num>
  <w:num w:numId="7">
    <w:abstractNumId w:val="9"/>
  </w:num>
  <w:num w:numId="8">
    <w:abstractNumId w:val="5"/>
  </w:num>
  <w:num w:numId="9">
    <w:abstractNumId w:val="0"/>
  </w:num>
  <w:num w:numId="10">
    <w:abstractNumId w:val="1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16"/>
  </w:num>
  <w:num w:numId="15">
    <w:abstractNumId w:val="7"/>
  </w:num>
  <w:num w:numId="16">
    <w:abstractNumId w:val="3"/>
  </w:num>
  <w:num w:numId="17">
    <w:abstractNumId w:val="2"/>
  </w:num>
  <w:num w:numId="18">
    <w:abstractNumId w:val="6"/>
  </w:num>
  <w:num w:numId="19">
    <w:abstractNumId w:val="22"/>
  </w:num>
  <w:num w:numId="20">
    <w:abstractNumId w:val="10"/>
  </w:num>
  <w:num w:numId="21">
    <w:abstractNumId w:val="18"/>
  </w:num>
  <w:num w:numId="22">
    <w:abstractNumId w:val="19"/>
  </w:num>
  <w:num w:numId="23">
    <w:abstractNumId w:val="1"/>
  </w:num>
  <w:num w:numId="24">
    <w:abstractNumId w:val="21"/>
  </w:num>
  <w:num w:numId="2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101B3"/>
    <w:rsid w:val="00013CFF"/>
    <w:rsid w:val="00023E5C"/>
    <w:rsid w:val="000258FA"/>
    <w:rsid w:val="0003443F"/>
    <w:rsid w:val="000374D3"/>
    <w:rsid w:val="000377AF"/>
    <w:rsid w:val="00044D13"/>
    <w:rsid w:val="00050D81"/>
    <w:rsid w:val="0007019F"/>
    <w:rsid w:val="000851CC"/>
    <w:rsid w:val="000857D6"/>
    <w:rsid w:val="00092D29"/>
    <w:rsid w:val="000A1043"/>
    <w:rsid w:val="000A3901"/>
    <w:rsid w:val="000A48C7"/>
    <w:rsid w:val="000B24EE"/>
    <w:rsid w:val="000C154A"/>
    <w:rsid w:val="000D3F79"/>
    <w:rsid w:val="000D43E8"/>
    <w:rsid w:val="000E7602"/>
    <w:rsid w:val="000F089C"/>
    <w:rsid w:val="000F6232"/>
    <w:rsid w:val="0010575B"/>
    <w:rsid w:val="0011492F"/>
    <w:rsid w:val="00115D02"/>
    <w:rsid w:val="00116E28"/>
    <w:rsid w:val="00154E35"/>
    <w:rsid w:val="00155A83"/>
    <w:rsid w:val="001737AC"/>
    <w:rsid w:val="00185ED4"/>
    <w:rsid w:val="00186AC0"/>
    <w:rsid w:val="00196880"/>
    <w:rsid w:val="001B0CA3"/>
    <w:rsid w:val="001B5054"/>
    <w:rsid w:val="001D1555"/>
    <w:rsid w:val="001E1C8A"/>
    <w:rsid w:val="001E5BBD"/>
    <w:rsid w:val="001E6B8A"/>
    <w:rsid w:val="001E7E6B"/>
    <w:rsid w:val="001F2C48"/>
    <w:rsid w:val="001F31CE"/>
    <w:rsid w:val="00207651"/>
    <w:rsid w:val="0021700C"/>
    <w:rsid w:val="00220A90"/>
    <w:rsid w:val="00226C62"/>
    <w:rsid w:val="00230887"/>
    <w:rsid w:val="00230D83"/>
    <w:rsid w:val="00231BE2"/>
    <w:rsid w:val="00241856"/>
    <w:rsid w:val="0024340B"/>
    <w:rsid w:val="00245295"/>
    <w:rsid w:val="002453E0"/>
    <w:rsid w:val="002466F7"/>
    <w:rsid w:val="002510ED"/>
    <w:rsid w:val="00254B90"/>
    <w:rsid w:val="002557E5"/>
    <w:rsid w:val="002638B8"/>
    <w:rsid w:val="00267A3F"/>
    <w:rsid w:val="00272C93"/>
    <w:rsid w:val="002821D3"/>
    <w:rsid w:val="002830EF"/>
    <w:rsid w:val="00296863"/>
    <w:rsid w:val="002B597C"/>
    <w:rsid w:val="002B75FE"/>
    <w:rsid w:val="002C4E9E"/>
    <w:rsid w:val="002D357F"/>
    <w:rsid w:val="002D69BC"/>
    <w:rsid w:val="002E259B"/>
    <w:rsid w:val="003049B3"/>
    <w:rsid w:val="003052B0"/>
    <w:rsid w:val="00307DAE"/>
    <w:rsid w:val="00312122"/>
    <w:rsid w:val="00324616"/>
    <w:rsid w:val="003326E9"/>
    <w:rsid w:val="00351066"/>
    <w:rsid w:val="00361A7E"/>
    <w:rsid w:val="00365D1C"/>
    <w:rsid w:val="003740D7"/>
    <w:rsid w:val="0038727C"/>
    <w:rsid w:val="00391387"/>
    <w:rsid w:val="003957ED"/>
    <w:rsid w:val="003968FF"/>
    <w:rsid w:val="00397572"/>
    <w:rsid w:val="003A20D0"/>
    <w:rsid w:val="003A4288"/>
    <w:rsid w:val="003A7CCB"/>
    <w:rsid w:val="003B6B2C"/>
    <w:rsid w:val="003C5192"/>
    <w:rsid w:val="003C69C3"/>
    <w:rsid w:val="003C7D90"/>
    <w:rsid w:val="003D3CFD"/>
    <w:rsid w:val="003F2027"/>
    <w:rsid w:val="003F20F6"/>
    <w:rsid w:val="003F58C7"/>
    <w:rsid w:val="00407C29"/>
    <w:rsid w:val="004131BD"/>
    <w:rsid w:val="00415AB0"/>
    <w:rsid w:val="004272A1"/>
    <w:rsid w:val="00434345"/>
    <w:rsid w:val="004357CF"/>
    <w:rsid w:val="00443A7D"/>
    <w:rsid w:val="004458CB"/>
    <w:rsid w:val="00451F07"/>
    <w:rsid w:val="00456016"/>
    <w:rsid w:val="00460DB4"/>
    <w:rsid w:val="00463096"/>
    <w:rsid w:val="00465086"/>
    <w:rsid w:val="00466A56"/>
    <w:rsid w:val="0046757B"/>
    <w:rsid w:val="004741AE"/>
    <w:rsid w:val="00486273"/>
    <w:rsid w:val="004A4454"/>
    <w:rsid w:val="004B04FF"/>
    <w:rsid w:val="004B763D"/>
    <w:rsid w:val="004C104E"/>
    <w:rsid w:val="004C5E01"/>
    <w:rsid w:val="004E6DDF"/>
    <w:rsid w:val="004F2020"/>
    <w:rsid w:val="00501D73"/>
    <w:rsid w:val="005044C5"/>
    <w:rsid w:val="00506ACF"/>
    <w:rsid w:val="00527289"/>
    <w:rsid w:val="00540A54"/>
    <w:rsid w:val="005432DB"/>
    <w:rsid w:val="00557DBF"/>
    <w:rsid w:val="00560B28"/>
    <w:rsid w:val="00567FE1"/>
    <w:rsid w:val="005703B4"/>
    <w:rsid w:val="00570AFE"/>
    <w:rsid w:val="005761A8"/>
    <w:rsid w:val="00584934"/>
    <w:rsid w:val="00597A6C"/>
    <w:rsid w:val="005A5D91"/>
    <w:rsid w:val="005D41C7"/>
    <w:rsid w:val="005D5285"/>
    <w:rsid w:val="005E2BA0"/>
    <w:rsid w:val="005E6AA1"/>
    <w:rsid w:val="005F3B6D"/>
    <w:rsid w:val="00602FEF"/>
    <w:rsid w:val="006033D8"/>
    <w:rsid w:val="00605BD0"/>
    <w:rsid w:val="00610DC5"/>
    <w:rsid w:val="006160C6"/>
    <w:rsid w:val="0061621E"/>
    <w:rsid w:val="006174B5"/>
    <w:rsid w:val="00630721"/>
    <w:rsid w:val="006328B3"/>
    <w:rsid w:val="0065223C"/>
    <w:rsid w:val="00654C33"/>
    <w:rsid w:val="00654FB3"/>
    <w:rsid w:val="00655EE4"/>
    <w:rsid w:val="0065725F"/>
    <w:rsid w:val="00662ADF"/>
    <w:rsid w:val="0067548F"/>
    <w:rsid w:val="00681287"/>
    <w:rsid w:val="006A3AB7"/>
    <w:rsid w:val="006A4E17"/>
    <w:rsid w:val="006A5397"/>
    <w:rsid w:val="006A5D82"/>
    <w:rsid w:val="006C0D6D"/>
    <w:rsid w:val="006D3647"/>
    <w:rsid w:val="006D3B8F"/>
    <w:rsid w:val="006D4426"/>
    <w:rsid w:val="006D74E0"/>
    <w:rsid w:val="006E0776"/>
    <w:rsid w:val="006E3950"/>
    <w:rsid w:val="006E4C54"/>
    <w:rsid w:val="006E74D2"/>
    <w:rsid w:val="006F447C"/>
    <w:rsid w:val="007124C1"/>
    <w:rsid w:val="007156D9"/>
    <w:rsid w:val="007160EE"/>
    <w:rsid w:val="00726594"/>
    <w:rsid w:val="00731256"/>
    <w:rsid w:val="0074174C"/>
    <w:rsid w:val="007430EB"/>
    <w:rsid w:val="00750651"/>
    <w:rsid w:val="00753AE8"/>
    <w:rsid w:val="00754DB3"/>
    <w:rsid w:val="00765C53"/>
    <w:rsid w:val="00777A0A"/>
    <w:rsid w:val="00784817"/>
    <w:rsid w:val="007966F8"/>
    <w:rsid w:val="007A4DB5"/>
    <w:rsid w:val="007B3AA7"/>
    <w:rsid w:val="007B46D1"/>
    <w:rsid w:val="007C27E0"/>
    <w:rsid w:val="007D2E6E"/>
    <w:rsid w:val="007E0794"/>
    <w:rsid w:val="007E7FB9"/>
    <w:rsid w:val="007F1D8D"/>
    <w:rsid w:val="008012B8"/>
    <w:rsid w:val="00807C5E"/>
    <w:rsid w:val="008352E4"/>
    <w:rsid w:val="00840EFD"/>
    <w:rsid w:val="008445B0"/>
    <w:rsid w:val="00846A6A"/>
    <w:rsid w:val="008502CD"/>
    <w:rsid w:val="00851B4D"/>
    <w:rsid w:val="008620D4"/>
    <w:rsid w:val="008650B4"/>
    <w:rsid w:val="0087108C"/>
    <w:rsid w:val="0087766B"/>
    <w:rsid w:val="00886A19"/>
    <w:rsid w:val="00887166"/>
    <w:rsid w:val="0089129A"/>
    <w:rsid w:val="0089140D"/>
    <w:rsid w:val="008973FD"/>
    <w:rsid w:val="008A647C"/>
    <w:rsid w:val="008A6A9A"/>
    <w:rsid w:val="008D1DB5"/>
    <w:rsid w:val="008E0F71"/>
    <w:rsid w:val="008E1342"/>
    <w:rsid w:val="008F1610"/>
    <w:rsid w:val="008F1BAE"/>
    <w:rsid w:val="00904E0F"/>
    <w:rsid w:val="00904F3D"/>
    <w:rsid w:val="0091124A"/>
    <w:rsid w:val="00912C50"/>
    <w:rsid w:val="0092387C"/>
    <w:rsid w:val="00925C18"/>
    <w:rsid w:val="0093067C"/>
    <w:rsid w:val="00930BB6"/>
    <w:rsid w:val="00935188"/>
    <w:rsid w:val="00940C95"/>
    <w:rsid w:val="00940F38"/>
    <w:rsid w:val="00943744"/>
    <w:rsid w:val="00956818"/>
    <w:rsid w:val="009606E9"/>
    <w:rsid w:val="0096089A"/>
    <w:rsid w:val="00964795"/>
    <w:rsid w:val="00964F13"/>
    <w:rsid w:val="0097576A"/>
    <w:rsid w:val="0097773B"/>
    <w:rsid w:val="00990C2B"/>
    <w:rsid w:val="009B5452"/>
    <w:rsid w:val="009C2BBB"/>
    <w:rsid w:val="009D4781"/>
    <w:rsid w:val="009D64A5"/>
    <w:rsid w:val="009E6602"/>
    <w:rsid w:val="009E6B23"/>
    <w:rsid w:val="009F062F"/>
    <w:rsid w:val="009F42C9"/>
    <w:rsid w:val="009F4FD0"/>
    <w:rsid w:val="00A00A20"/>
    <w:rsid w:val="00A03EA2"/>
    <w:rsid w:val="00A110A7"/>
    <w:rsid w:val="00A12308"/>
    <w:rsid w:val="00A1442E"/>
    <w:rsid w:val="00A155F8"/>
    <w:rsid w:val="00A21943"/>
    <w:rsid w:val="00A31CC6"/>
    <w:rsid w:val="00A31E6A"/>
    <w:rsid w:val="00A44D71"/>
    <w:rsid w:val="00A456B3"/>
    <w:rsid w:val="00A503E1"/>
    <w:rsid w:val="00A5566D"/>
    <w:rsid w:val="00A75DF2"/>
    <w:rsid w:val="00A81412"/>
    <w:rsid w:val="00A904CF"/>
    <w:rsid w:val="00A94B8B"/>
    <w:rsid w:val="00A96BA4"/>
    <w:rsid w:val="00AC25E9"/>
    <w:rsid w:val="00AC3F64"/>
    <w:rsid w:val="00AD6E76"/>
    <w:rsid w:val="00AE056A"/>
    <w:rsid w:val="00AF5DCF"/>
    <w:rsid w:val="00B01811"/>
    <w:rsid w:val="00B10D66"/>
    <w:rsid w:val="00B14383"/>
    <w:rsid w:val="00B42D18"/>
    <w:rsid w:val="00B637F7"/>
    <w:rsid w:val="00B708A8"/>
    <w:rsid w:val="00B74F00"/>
    <w:rsid w:val="00B7667D"/>
    <w:rsid w:val="00B8069E"/>
    <w:rsid w:val="00B83DD8"/>
    <w:rsid w:val="00B85A69"/>
    <w:rsid w:val="00B866B0"/>
    <w:rsid w:val="00B90F0A"/>
    <w:rsid w:val="00B93D12"/>
    <w:rsid w:val="00B965D7"/>
    <w:rsid w:val="00BB3848"/>
    <w:rsid w:val="00BB7221"/>
    <w:rsid w:val="00BB7A2F"/>
    <w:rsid w:val="00BB7AEF"/>
    <w:rsid w:val="00BC26DC"/>
    <w:rsid w:val="00BC2FC7"/>
    <w:rsid w:val="00BC789B"/>
    <w:rsid w:val="00BD54AF"/>
    <w:rsid w:val="00BD747B"/>
    <w:rsid w:val="00BE5191"/>
    <w:rsid w:val="00BE6F95"/>
    <w:rsid w:val="00BE7259"/>
    <w:rsid w:val="00BF571E"/>
    <w:rsid w:val="00BF7514"/>
    <w:rsid w:val="00C0171A"/>
    <w:rsid w:val="00C017D4"/>
    <w:rsid w:val="00C01C44"/>
    <w:rsid w:val="00C02424"/>
    <w:rsid w:val="00C02F72"/>
    <w:rsid w:val="00C07A59"/>
    <w:rsid w:val="00C164FC"/>
    <w:rsid w:val="00C168BE"/>
    <w:rsid w:val="00C50732"/>
    <w:rsid w:val="00C5204A"/>
    <w:rsid w:val="00C640AA"/>
    <w:rsid w:val="00C6449D"/>
    <w:rsid w:val="00C64E8D"/>
    <w:rsid w:val="00C66D01"/>
    <w:rsid w:val="00C7363D"/>
    <w:rsid w:val="00C748B1"/>
    <w:rsid w:val="00C852E2"/>
    <w:rsid w:val="00C86FFF"/>
    <w:rsid w:val="00C92AAC"/>
    <w:rsid w:val="00C955CE"/>
    <w:rsid w:val="00CB2776"/>
    <w:rsid w:val="00CB3257"/>
    <w:rsid w:val="00CB39FE"/>
    <w:rsid w:val="00CD4AAB"/>
    <w:rsid w:val="00CD4ADB"/>
    <w:rsid w:val="00CE3487"/>
    <w:rsid w:val="00CF0A59"/>
    <w:rsid w:val="00D002D0"/>
    <w:rsid w:val="00D030F8"/>
    <w:rsid w:val="00D153D0"/>
    <w:rsid w:val="00D3329E"/>
    <w:rsid w:val="00D37CB8"/>
    <w:rsid w:val="00D549C4"/>
    <w:rsid w:val="00D63998"/>
    <w:rsid w:val="00D65599"/>
    <w:rsid w:val="00D912CA"/>
    <w:rsid w:val="00D94DF3"/>
    <w:rsid w:val="00D962EC"/>
    <w:rsid w:val="00DB11ED"/>
    <w:rsid w:val="00DC0A97"/>
    <w:rsid w:val="00DD019A"/>
    <w:rsid w:val="00DD7508"/>
    <w:rsid w:val="00DE1A8B"/>
    <w:rsid w:val="00DF4EE7"/>
    <w:rsid w:val="00E003A6"/>
    <w:rsid w:val="00E12557"/>
    <w:rsid w:val="00E32F73"/>
    <w:rsid w:val="00E45FCB"/>
    <w:rsid w:val="00E526D3"/>
    <w:rsid w:val="00E5425C"/>
    <w:rsid w:val="00E56ED6"/>
    <w:rsid w:val="00E63C49"/>
    <w:rsid w:val="00E73E16"/>
    <w:rsid w:val="00E8498D"/>
    <w:rsid w:val="00E90EA4"/>
    <w:rsid w:val="00E910E3"/>
    <w:rsid w:val="00EA27BF"/>
    <w:rsid w:val="00EA40D3"/>
    <w:rsid w:val="00EA62F8"/>
    <w:rsid w:val="00EA7BC0"/>
    <w:rsid w:val="00EB7405"/>
    <w:rsid w:val="00EF0772"/>
    <w:rsid w:val="00F00BF7"/>
    <w:rsid w:val="00F0437F"/>
    <w:rsid w:val="00F13A0D"/>
    <w:rsid w:val="00F1632C"/>
    <w:rsid w:val="00F20463"/>
    <w:rsid w:val="00F2141C"/>
    <w:rsid w:val="00F22D40"/>
    <w:rsid w:val="00F26DAF"/>
    <w:rsid w:val="00F44880"/>
    <w:rsid w:val="00F57AF2"/>
    <w:rsid w:val="00F61B5C"/>
    <w:rsid w:val="00F71F04"/>
    <w:rsid w:val="00F7678F"/>
    <w:rsid w:val="00F769DF"/>
    <w:rsid w:val="00F77BA3"/>
    <w:rsid w:val="00F843A1"/>
    <w:rsid w:val="00F87956"/>
    <w:rsid w:val="00FA02B5"/>
    <w:rsid w:val="00FA13EF"/>
    <w:rsid w:val="00FA57FF"/>
    <w:rsid w:val="00FA66EC"/>
    <w:rsid w:val="00FB5250"/>
    <w:rsid w:val="00FC2299"/>
    <w:rsid w:val="00FC2F69"/>
    <w:rsid w:val="00FC5E2F"/>
    <w:rsid w:val="00FD5047"/>
    <w:rsid w:val="00FE424C"/>
    <w:rsid w:val="00FE61D7"/>
    <w:rsid w:val="00FF5709"/>
    <w:rsid w:val="00FF5D83"/>
    <w:rsid w:val="00FF75E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basedOn w:val="Normal"/>
    <w:link w:val="ListParagraphChar"/>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link w:val="ListParagraph"/>
    <w:uiPriority w:val="34"/>
    <w:locked/>
    <w:rsid w:val="00754DB3"/>
    <w:rPr>
      <w:rFonts w:ascii="Cambria" w:eastAsia="Cambria" w:hAnsi="Cambria" w:cs="Times New Roman"/>
      <w:sz w:val="24"/>
      <w:szCs w:val="24"/>
    </w:rPr>
  </w:style>
  <w:style w:type="paragraph" w:styleId="NormalWeb">
    <w:name w:val="Normal (Web)"/>
    <w:basedOn w:val="Normal"/>
    <w:unhideWhenUsed/>
    <w:qFormat/>
    <w:rsid w:val="003F20F6"/>
    <w:pPr>
      <w:spacing w:before="100" w:beforeAutospacing="1" w:after="100" w:afterAutospacing="1"/>
      <w:textAlignment w:val="top"/>
    </w:pPr>
    <w:rPr>
      <w:rFonts w:ascii="Arial" w:eastAsia="Times New Roman" w:hAnsi="Arial" w:cs="Arial"/>
      <w:color w:val="606060"/>
      <w:sz w:val="17"/>
      <w:szCs w:val="17"/>
      <w:lang w:eastAsia="lv-LV"/>
    </w:rPr>
  </w:style>
  <w:style w:type="paragraph" w:customStyle="1" w:styleId="CharChar10">
    <w:name w:val="Char Char1"/>
    <w:basedOn w:val="Normal"/>
    <w:rsid w:val="00F843A1"/>
    <w:pPr>
      <w:spacing w:after="160" w:line="240" w:lineRule="exact"/>
    </w:pPr>
    <w:rPr>
      <w:rFonts w:ascii="Tahoma" w:eastAsia="Times New Roman" w:hAnsi="Tahoma"/>
      <w:sz w:val="20"/>
      <w:szCs w:val="20"/>
      <w:lang w:val="en-US"/>
    </w:rPr>
  </w:style>
  <w:style w:type="paragraph" w:customStyle="1" w:styleId="CharChar11">
    <w:name w:val="Char Char1"/>
    <w:basedOn w:val="Normal"/>
    <w:rsid w:val="004741AE"/>
    <w:pPr>
      <w:spacing w:after="160" w:line="240" w:lineRule="exact"/>
    </w:pPr>
    <w:rPr>
      <w:rFonts w:ascii="Tahoma" w:eastAsia="Times New Roman" w:hAnsi="Tahoma"/>
      <w:sz w:val="20"/>
      <w:szCs w:val="20"/>
      <w:lang w:val="en-US"/>
    </w:rPr>
  </w:style>
  <w:style w:type="paragraph" w:customStyle="1" w:styleId="RakstzRakstz4">
    <w:name w:val="Rakstz. Rakstz.4"/>
    <w:basedOn w:val="Normal"/>
    <w:rsid w:val="00887166"/>
    <w:pPr>
      <w:spacing w:after="160" w:line="240" w:lineRule="exact"/>
    </w:pPr>
    <w:rPr>
      <w:rFonts w:ascii="Tahoma" w:eastAsia="Times New Roman" w:hAnsi="Tahoma"/>
      <w:sz w:val="20"/>
      <w:szCs w:val="20"/>
      <w:lang w:val="en-US"/>
    </w:rPr>
  </w:style>
  <w:style w:type="paragraph" w:customStyle="1" w:styleId="CharChar12">
    <w:name w:val="Char Char1"/>
    <w:basedOn w:val="Normal"/>
    <w:rsid w:val="00DD7508"/>
    <w:pPr>
      <w:spacing w:after="160" w:line="240" w:lineRule="exact"/>
    </w:pPr>
    <w:rPr>
      <w:rFonts w:ascii="Tahoma" w:eastAsia="Times New Roman" w:hAnsi="Tahoma"/>
      <w:sz w:val="20"/>
      <w:szCs w:val="20"/>
      <w:lang w:val="en-US"/>
    </w:rPr>
  </w:style>
  <w:style w:type="paragraph" w:customStyle="1" w:styleId="CharChar13">
    <w:name w:val="Char Char1"/>
    <w:basedOn w:val="Normal"/>
    <w:rsid w:val="00BE7259"/>
    <w:pPr>
      <w:spacing w:after="160" w:line="240" w:lineRule="exact"/>
    </w:pPr>
    <w:rPr>
      <w:rFonts w:ascii="Tahoma" w:eastAsia="Times New Roman" w:hAnsi="Tahoma"/>
      <w:sz w:val="20"/>
      <w:szCs w:val="20"/>
      <w:lang w:val="en-US"/>
    </w:rPr>
  </w:style>
  <w:style w:type="paragraph" w:customStyle="1" w:styleId="CharChar110">
    <w:name w:val="Char Char11"/>
    <w:basedOn w:val="Normal"/>
    <w:rsid w:val="00EB7405"/>
    <w:pPr>
      <w:spacing w:after="160" w:line="240" w:lineRule="exact"/>
    </w:pPr>
    <w:rPr>
      <w:rFonts w:ascii="Tahoma" w:eastAsia="Times New Roman" w:hAnsi="Tahoma"/>
      <w:sz w:val="20"/>
      <w:szCs w:val="20"/>
      <w:lang w:val="en-US"/>
    </w:rPr>
  </w:style>
  <w:style w:type="paragraph" w:customStyle="1" w:styleId="CharChar14">
    <w:name w:val="Char Char1"/>
    <w:basedOn w:val="Normal"/>
    <w:rsid w:val="000F6232"/>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5567-administrativa-procesa-likums" TargetMode="External"/><Relationship Id="rId3" Type="http://schemas.openxmlformats.org/officeDocument/2006/relationships/settings" Target="settings.xml"/><Relationship Id="rId7" Type="http://schemas.openxmlformats.org/officeDocument/2006/relationships/hyperlink" Target="http://www.iub.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Sandra Veide</cp:lastModifiedBy>
  <cp:revision>85</cp:revision>
  <cp:lastPrinted>2018-05-30T12:40:00Z</cp:lastPrinted>
  <dcterms:created xsi:type="dcterms:W3CDTF">2018-04-03T07:17:00Z</dcterms:created>
  <dcterms:modified xsi:type="dcterms:W3CDTF">2018-05-31T08:29:00Z</dcterms:modified>
</cp:coreProperties>
</file>