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C2112E" w:rsidP="007811DE">
      <w:pPr>
        <w:jc w:val="right"/>
        <w:rPr>
          <w:rFonts w:ascii="Times New Roman" w:hAnsi="Times New Roman"/>
          <w:b/>
          <w:color w:val="FFFFFF" w:themeColor="background1"/>
        </w:rPr>
      </w:pPr>
      <w:r w:rsidRPr="00983349">
        <w:rPr>
          <w:rFonts w:ascii="Times New Roman" w:hAnsi="Times New Roman"/>
          <w:b/>
          <w:color w:val="FFFFFF" w:themeColor="background1"/>
        </w:rPr>
        <w:t>IZRAKSTS</w:t>
      </w:r>
    </w:p>
    <w:p w:rsidR="00C2112E" w:rsidRDefault="00C2112E" w:rsidP="007811DE">
      <w:pPr>
        <w:jc w:val="right"/>
        <w:rPr>
          <w:rFonts w:ascii="Times New Roman" w:hAnsi="Times New Roman"/>
          <w:b/>
        </w:rPr>
      </w:pPr>
    </w:p>
    <w:p w:rsidR="008F1BAE" w:rsidRPr="00365D1C" w:rsidRDefault="00391387" w:rsidP="007811DE">
      <w:pPr>
        <w:jc w:val="center"/>
        <w:rPr>
          <w:rFonts w:ascii="Times New Roman" w:hAnsi="Times New Roman"/>
          <w:b/>
        </w:rPr>
      </w:pPr>
      <w:r w:rsidRPr="00365D1C">
        <w:rPr>
          <w:rFonts w:ascii="Times New Roman" w:hAnsi="Times New Roman"/>
          <w:b/>
        </w:rPr>
        <w:t>LĒMUMS</w:t>
      </w:r>
    </w:p>
    <w:p w:rsidR="008F1BAE" w:rsidRPr="00365D1C" w:rsidRDefault="008F1BAE" w:rsidP="007811DE">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7811DE">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A94B8B" w:rsidRDefault="000101B3" w:rsidP="007811DE">
      <w:pPr>
        <w:pStyle w:val="BodyTextIndent"/>
        <w:spacing w:after="0"/>
        <w:ind w:left="0"/>
        <w:jc w:val="center"/>
        <w:rPr>
          <w:rFonts w:ascii="Times New Roman" w:hAnsi="Times New Roman"/>
          <w:b/>
        </w:rPr>
      </w:pPr>
      <w:r w:rsidRPr="00A94B8B">
        <w:rPr>
          <w:rFonts w:ascii="Times New Roman" w:hAnsi="Times New Roman"/>
          <w:b/>
          <w:bCs/>
          <w:iCs/>
          <w:lang w:eastAsia="lv-LV"/>
        </w:rPr>
        <w:t>“</w:t>
      </w:r>
      <w:proofErr w:type="spellStart"/>
      <w:r w:rsidR="00593BA6">
        <w:rPr>
          <w:rFonts w:eastAsia="Calibri"/>
          <w:b/>
          <w:bCs/>
          <w:iCs/>
          <w:lang w:eastAsia="lv-LV"/>
        </w:rPr>
        <w:t>Infografiku</w:t>
      </w:r>
      <w:proofErr w:type="spellEnd"/>
      <w:r w:rsidR="00593BA6">
        <w:rPr>
          <w:rFonts w:eastAsia="Calibri"/>
          <w:b/>
          <w:bCs/>
          <w:iCs/>
          <w:lang w:eastAsia="lv-LV"/>
        </w:rPr>
        <w:t xml:space="preserve"> izstrāde un digitālo un drukas materiālu dizains</w:t>
      </w:r>
      <w:r w:rsidRPr="00A94B8B">
        <w:rPr>
          <w:rFonts w:ascii="Times New Roman" w:hAnsi="Times New Roman"/>
          <w:b/>
        </w:rPr>
        <w:t>”</w:t>
      </w:r>
    </w:p>
    <w:p w:rsidR="003326E9" w:rsidRPr="000101B3" w:rsidRDefault="000101B3" w:rsidP="007811DE">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935188" w:rsidRPr="00365D1C">
        <w:rPr>
          <w:rFonts w:ascii="Times New Roman" w:hAnsi="Times New Roman"/>
          <w:b/>
          <w:bCs/>
        </w:rPr>
        <w:t>2016/</w:t>
      </w:r>
      <w:r w:rsidR="00593BA6">
        <w:rPr>
          <w:rFonts w:ascii="Times New Roman" w:hAnsi="Times New Roman"/>
          <w:b/>
          <w:bCs/>
        </w:rPr>
        <w:t>94</w:t>
      </w:r>
      <w:r w:rsidR="00935188" w:rsidRPr="00365D1C">
        <w:rPr>
          <w:rFonts w:ascii="Times New Roman" w:hAnsi="Times New Roman"/>
          <w:b/>
          <w:bCs/>
        </w:rPr>
        <w:t>_I</w:t>
      </w:r>
    </w:p>
    <w:p w:rsidR="00EF0772" w:rsidRPr="00540A54" w:rsidRDefault="00EF0772" w:rsidP="007811DE">
      <w:pPr>
        <w:jc w:val="center"/>
        <w:rPr>
          <w:rFonts w:ascii="Times New Roman" w:hAnsi="Times New Roman"/>
          <w:b/>
          <w:bCs/>
        </w:rPr>
      </w:pPr>
    </w:p>
    <w:p w:rsidR="00DB11ED" w:rsidRPr="002B597C" w:rsidRDefault="000B57B5" w:rsidP="007811DE">
      <w:pPr>
        <w:jc w:val="both"/>
        <w:rPr>
          <w:rFonts w:ascii="Times New Roman" w:hAnsi="Times New Roman"/>
          <w:b/>
          <w:bCs/>
        </w:rPr>
      </w:pPr>
      <w:r w:rsidRPr="004866F3">
        <w:rPr>
          <w:rFonts w:ascii="Times New Roman" w:hAnsi="Times New Roman"/>
          <w:b/>
          <w:bCs/>
        </w:rPr>
        <w:t>Rīgā</w:t>
      </w:r>
      <w:r w:rsidR="00B866B0" w:rsidRPr="004866F3">
        <w:rPr>
          <w:rFonts w:ascii="Times New Roman" w:hAnsi="Times New Roman"/>
          <w:b/>
          <w:bCs/>
        </w:rPr>
        <w:t xml:space="preserve"> 201</w:t>
      </w:r>
      <w:r w:rsidR="00593BA6" w:rsidRPr="004866F3">
        <w:rPr>
          <w:rFonts w:ascii="Times New Roman" w:hAnsi="Times New Roman"/>
          <w:b/>
          <w:bCs/>
        </w:rPr>
        <w:t>7</w:t>
      </w:r>
      <w:r w:rsidRPr="004866F3">
        <w:rPr>
          <w:rFonts w:ascii="Times New Roman" w:hAnsi="Times New Roman"/>
          <w:b/>
          <w:bCs/>
        </w:rPr>
        <w:t>.</w:t>
      </w:r>
      <w:r w:rsidR="00AE056A" w:rsidRPr="004866F3">
        <w:rPr>
          <w:rFonts w:ascii="Times New Roman" w:hAnsi="Times New Roman"/>
          <w:b/>
          <w:bCs/>
        </w:rPr>
        <w:t xml:space="preserve">gada </w:t>
      </w:r>
      <w:r w:rsidR="00770C0E" w:rsidRPr="004866F3">
        <w:rPr>
          <w:rFonts w:ascii="Times New Roman" w:hAnsi="Times New Roman"/>
          <w:b/>
          <w:bCs/>
        </w:rPr>
        <w:t>18</w:t>
      </w:r>
      <w:r w:rsidRPr="004866F3">
        <w:rPr>
          <w:rFonts w:ascii="Times New Roman" w:hAnsi="Times New Roman"/>
          <w:b/>
          <w:bCs/>
        </w:rPr>
        <w:t>.</w:t>
      </w:r>
      <w:r w:rsidR="00593BA6" w:rsidRPr="004866F3">
        <w:rPr>
          <w:rFonts w:ascii="Times New Roman" w:hAnsi="Times New Roman"/>
          <w:b/>
          <w:bCs/>
        </w:rPr>
        <w:t>janvārī</w:t>
      </w:r>
    </w:p>
    <w:p w:rsidR="003326E9" w:rsidRPr="00540A54" w:rsidRDefault="003326E9" w:rsidP="007811DE">
      <w:pPr>
        <w:jc w:val="both"/>
        <w:rPr>
          <w:rFonts w:ascii="Times New Roman" w:hAnsi="Times New Roman"/>
          <w:b/>
          <w:bCs/>
        </w:rPr>
      </w:pPr>
    </w:p>
    <w:p w:rsidR="008F1BAE" w:rsidRPr="00334F94" w:rsidRDefault="00540A54"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lang w:eastAsia="lv-LV"/>
        </w:rPr>
        <w:t>Pasūtītājs</w:t>
      </w:r>
      <w:r w:rsidR="003326E9" w:rsidRPr="00334F94">
        <w:rPr>
          <w:rFonts w:ascii="Times New Roman" w:eastAsia="Times New Roman" w:hAnsi="Times New Roman"/>
          <w:bCs/>
          <w:lang w:eastAsia="lv-LV"/>
        </w:rPr>
        <w:t>:</w:t>
      </w:r>
      <w:r w:rsidR="00DB11ED" w:rsidRPr="00334F94">
        <w:rPr>
          <w:rFonts w:ascii="Times New Roman" w:eastAsia="Times New Roman" w:hAnsi="Times New Roman"/>
          <w:bCs/>
          <w:lang w:eastAsia="lv-LV"/>
        </w:rPr>
        <w:t xml:space="preserve"> </w:t>
      </w:r>
      <w:r w:rsidR="00807C5E" w:rsidRPr="00334F94">
        <w:rPr>
          <w:rFonts w:ascii="Times New Roman" w:eastAsia="Times New Roman" w:hAnsi="Times New Roman"/>
          <w:lang w:eastAsia="lv-LV"/>
        </w:rPr>
        <w:t>Latvijas U</w:t>
      </w:r>
      <w:r w:rsidR="00DB11ED" w:rsidRPr="00334F94">
        <w:rPr>
          <w:rFonts w:ascii="Times New Roman" w:eastAsia="Times New Roman" w:hAnsi="Times New Roman"/>
          <w:lang w:eastAsia="lv-LV"/>
        </w:rPr>
        <w:t xml:space="preserve">niversitāte, izglītības iestādes reģistrācijas Nr. </w:t>
      </w:r>
      <w:r w:rsidR="00807C5E" w:rsidRPr="00334F94">
        <w:rPr>
          <w:rFonts w:ascii="Times New Roman" w:hAnsi="Times New Roman"/>
        </w:rPr>
        <w:t>3341000218</w:t>
      </w:r>
      <w:r w:rsidRPr="00334F94">
        <w:rPr>
          <w:rFonts w:ascii="Times New Roman" w:eastAsia="Times New Roman" w:hAnsi="Times New Roman"/>
          <w:lang w:eastAsia="lv-LV"/>
        </w:rPr>
        <w:t>, juridiskā adrese</w:t>
      </w:r>
      <w:r w:rsidR="00F769DF" w:rsidRPr="00334F94">
        <w:rPr>
          <w:rFonts w:ascii="Times New Roman" w:eastAsia="Times New Roman" w:hAnsi="Times New Roman"/>
          <w:lang w:eastAsia="lv-LV"/>
        </w:rPr>
        <w:t>:</w:t>
      </w:r>
      <w:r w:rsidRPr="00334F94">
        <w:rPr>
          <w:rFonts w:ascii="Times New Roman" w:eastAsia="Times New Roman" w:hAnsi="Times New Roman"/>
          <w:lang w:eastAsia="lv-LV"/>
        </w:rPr>
        <w:t xml:space="preserve"> </w:t>
      </w:r>
      <w:r w:rsidRPr="00334F94">
        <w:rPr>
          <w:rFonts w:ascii="Times New Roman" w:eastAsia="Times New Roman" w:hAnsi="Times New Roman"/>
        </w:rPr>
        <w:t>Raiņa bulvāris 19, Rīga, LV-1586.</w:t>
      </w:r>
    </w:p>
    <w:p w:rsidR="00584934" w:rsidRPr="00E233BC" w:rsidRDefault="008F1BAE"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w:t>
      </w:r>
      <w:r w:rsidR="003D6DF3">
        <w:rPr>
          <w:rFonts w:ascii="Times New Roman" w:hAnsi="Times New Roman"/>
        </w:rPr>
        <w:t>mu komisiju sastāviem” izveidotā</w:t>
      </w:r>
      <w:r w:rsidRPr="00334F94">
        <w:rPr>
          <w:rFonts w:ascii="Times New Roman" w:hAnsi="Times New Roman"/>
        </w:rPr>
        <w:t xml:space="preserve"> Latvijas Universitātes </w:t>
      </w:r>
      <w:r w:rsidR="00A0729E">
        <w:rPr>
          <w:rFonts w:ascii="Times New Roman" w:hAnsi="Times New Roman"/>
        </w:rPr>
        <w:t>Centralizēto</w:t>
      </w:r>
      <w:r w:rsidRPr="00334F94">
        <w:rPr>
          <w:rFonts w:ascii="Times New Roman" w:hAnsi="Times New Roman"/>
        </w:rPr>
        <w:t xml:space="preserve"> 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E233BC" w:rsidRPr="003D6DF3" w:rsidRDefault="003326E9"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DB11ED" w:rsidRPr="00E233BC">
        <w:rPr>
          <w:rFonts w:ascii="Times New Roman" w:eastAsia="Times New Roman" w:hAnsi="Times New Roman"/>
          <w:b/>
          <w:bCs/>
          <w:lang w:eastAsia="lv-LV"/>
        </w:rPr>
        <w:t xml:space="preserve"> </w:t>
      </w:r>
      <w:proofErr w:type="spellStart"/>
      <w:r w:rsidR="00A0729E">
        <w:rPr>
          <w:rFonts w:ascii="Times New Roman" w:eastAsia="Calibri" w:hAnsi="Times New Roman"/>
          <w:bCs/>
          <w:iCs/>
          <w:lang w:eastAsia="lv-LV"/>
        </w:rPr>
        <w:t>Infografiku</w:t>
      </w:r>
      <w:proofErr w:type="spellEnd"/>
      <w:r w:rsidR="00A0729E">
        <w:rPr>
          <w:rFonts w:ascii="Times New Roman" w:eastAsia="Calibri" w:hAnsi="Times New Roman"/>
          <w:bCs/>
          <w:iCs/>
          <w:lang w:eastAsia="lv-LV"/>
        </w:rPr>
        <w:t xml:space="preserve"> izstrāde un digitālo un dru</w:t>
      </w:r>
      <w:r w:rsidR="003D6DF3">
        <w:rPr>
          <w:rFonts w:ascii="Times New Roman" w:eastAsia="Calibri" w:hAnsi="Times New Roman"/>
          <w:bCs/>
          <w:iCs/>
          <w:lang w:eastAsia="lv-LV"/>
        </w:rPr>
        <w:t xml:space="preserve">kas materiālu dizaina izstrāde </w:t>
      </w:r>
      <w:r w:rsidR="00A0729E">
        <w:rPr>
          <w:rFonts w:ascii="Times New Roman" w:eastAsia="Calibri" w:hAnsi="Times New Roman"/>
          <w:bCs/>
          <w:iCs/>
          <w:lang w:eastAsia="lv-LV"/>
        </w:rPr>
        <w:t xml:space="preserve">par Latvijas Universitātes ārējās un iekšējās komunikācijas aktualitātēm saskaņā ar Iepirkuma nolikumu </w:t>
      </w:r>
      <w:r w:rsidR="00D851C5">
        <w:rPr>
          <w:rFonts w:ascii="Times New Roman" w:hAnsi="Times New Roman"/>
        </w:rPr>
        <w:t>(turpmāk –</w:t>
      </w:r>
      <w:r w:rsidR="00584934" w:rsidRPr="00334F94">
        <w:rPr>
          <w:rFonts w:ascii="Times New Roman" w:hAnsi="Times New Roman"/>
        </w:rPr>
        <w:t xml:space="preserve"> </w:t>
      </w:r>
      <w:r w:rsidR="00584934" w:rsidRPr="00334F94">
        <w:rPr>
          <w:rFonts w:ascii="Times New Roman" w:hAnsi="Times New Roman"/>
          <w:b/>
        </w:rPr>
        <w:t>Nolikums</w:t>
      </w:r>
      <w:r w:rsidR="00584934" w:rsidRPr="00334F94">
        <w:rPr>
          <w:rFonts w:ascii="Times New Roman" w:hAnsi="Times New Roman"/>
        </w:rPr>
        <w:t>) un tehnisk</w:t>
      </w:r>
      <w:r w:rsidR="00A0729E">
        <w:rPr>
          <w:rFonts w:ascii="Times New Roman" w:hAnsi="Times New Roman"/>
        </w:rPr>
        <w:t>o specifikāciju</w:t>
      </w:r>
      <w:r w:rsidR="00584934" w:rsidRPr="00334F94">
        <w:rPr>
          <w:rFonts w:ascii="Times New Roman" w:hAnsi="Times New Roman"/>
        </w:rPr>
        <w:t xml:space="preserve"> (turpmāk – </w:t>
      </w:r>
      <w:r w:rsidR="00584934" w:rsidRPr="00334F94">
        <w:rPr>
          <w:rFonts w:ascii="Times New Roman" w:hAnsi="Times New Roman"/>
          <w:b/>
        </w:rPr>
        <w:t>Tehniskā specifikācija</w:t>
      </w:r>
      <w:r w:rsidR="00584934" w:rsidRPr="00334F94">
        <w:rPr>
          <w:rFonts w:ascii="Times New Roman" w:hAnsi="Times New Roman"/>
        </w:rPr>
        <w:t>), k</w:t>
      </w:r>
      <w:r w:rsidR="00E233BC">
        <w:rPr>
          <w:rFonts w:ascii="Times New Roman" w:hAnsi="Times New Roman"/>
        </w:rPr>
        <w:t>as ir pievienota</w:t>
      </w:r>
      <w:r w:rsidR="00584934" w:rsidRPr="00334F94">
        <w:rPr>
          <w:rFonts w:ascii="Times New Roman" w:hAnsi="Times New Roman"/>
        </w:rPr>
        <w:t xml:space="preserve"> Nolikuma 2.pielikumā</w:t>
      </w:r>
      <w:r w:rsidR="00A0729E">
        <w:rPr>
          <w:rFonts w:ascii="Times New Roman" w:hAnsi="Times New Roman"/>
        </w:rPr>
        <w:t>.</w:t>
      </w:r>
    </w:p>
    <w:p w:rsidR="003D6DF3" w:rsidRPr="003D6DF3" w:rsidRDefault="003D6DF3" w:rsidP="00231806">
      <w:pPr>
        <w:pStyle w:val="ListParagraph"/>
        <w:spacing w:line="276" w:lineRule="auto"/>
        <w:ind w:left="714" w:hanging="357"/>
        <w:jc w:val="both"/>
        <w:rPr>
          <w:rFonts w:ascii="Times New Roman" w:eastAsia="Times New Roman" w:hAnsi="Times New Roman"/>
          <w:bCs/>
          <w:lang w:eastAsia="lv-LV"/>
        </w:rPr>
      </w:pPr>
      <w:r w:rsidRPr="003D6DF3">
        <w:rPr>
          <w:rFonts w:ascii="Times New Roman" w:eastAsia="Times New Roman" w:hAnsi="Times New Roman"/>
          <w:bCs/>
          <w:lang w:eastAsia="lv-LV"/>
        </w:rPr>
        <w:t>Iepirkuma priekšmets ir sadalīts 2 (divās) daļās:</w:t>
      </w:r>
    </w:p>
    <w:p w:rsidR="003D6DF3" w:rsidRDefault="003D6DF3" w:rsidP="00231806">
      <w:pPr>
        <w:pStyle w:val="ListParagraph"/>
        <w:spacing w:line="276" w:lineRule="auto"/>
        <w:ind w:left="714" w:hanging="357"/>
        <w:jc w:val="both"/>
        <w:rPr>
          <w:rFonts w:ascii="Times New Roman" w:eastAsia="Times New Roman" w:hAnsi="Times New Roman"/>
          <w:bCs/>
          <w:lang w:eastAsia="lv-LV"/>
        </w:rPr>
      </w:pPr>
      <w:r w:rsidRPr="009C67F5">
        <w:rPr>
          <w:rFonts w:ascii="Times New Roman" w:eastAsia="Times New Roman" w:hAnsi="Times New Roman"/>
          <w:b/>
          <w:bCs/>
          <w:lang w:eastAsia="lv-LV"/>
        </w:rPr>
        <w:t>1.daļa</w:t>
      </w:r>
      <w:r>
        <w:rPr>
          <w:rFonts w:ascii="Times New Roman" w:eastAsia="Times New Roman" w:hAnsi="Times New Roman"/>
          <w:bCs/>
          <w:lang w:eastAsia="lv-LV"/>
        </w:rPr>
        <w:t xml:space="preserve"> – </w:t>
      </w:r>
      <w:proofErr w:type="spellStart"/>
      <w:r>
        <w:rPr>
          <w:rFonts w:ascii="Times New Roman" w:eastAsia="Times New Roman" w:hAnsi="Times New Roman"/>
          <w:bCs/>
          <w:lang w:eastAsia="lv-LV"/>
        </w:rPr>
        <w:t>Infografiku</w:t>
      </w:r>
      <w:proofErr w:type="spellEnd"/>
      <w:r>
        <w:rPr>
          <w:rFonts w:ascii="Times New Roman" w:eastAsia="Times New Roman" w:hAnsi="Times New Roman"/>
          <w:bCs/>
          <w:lang w:eastAsia="lv-LV"/>
        </w:rPr>
        <w:t xml:space="preserve"> izstrāde;</w:t>
      </w:r>
    </w:p>
    <w:p w:rsidR="003D6DF3" w:rsidRPr="00E233BC" w:rsidRDefault="003D6DF3" w:rsidP="00231806">
      <w:pPr>
        <w:pStyle w:val="ListParagraph"/>
        <w:spacing w:line="276" w:lineRule="auto"/>
        <w:ind w:left="714" w:hanging="357"/>
        <w:jc w:val="both"/>
        <w:rPr>
          <w:rFonts w:ascii="Times New Roman" w:eastAsia="Times New Roman" w:hAnsi="Times New Roman"/>
          <w:bCs/>
          <w:lang w:eastAsia="lv-LV"/>
        </w:rPr>
      </w:pPr>
      <w:r w:rsidRPr="009C67F5">
        <w:rPr>
          <w:rFonts w:ascii="Times New Roman" w:eastAsia="Times New Roman" w:hAnsi="Times New Roman"/>
          <w:b/>
          <w:bCs/>
          <w:lang w:eastAsia="lv-LV"/>
        </w:rPr>
        <w:t>2.daļa</w:t>
      </w:r>
      <w:r>
        <w:rPr>
          <w:rFonts w:ascii="Times New Roman" w:eastAsia="Times New Roman" w:hAnsi="Times New Roman"/>
          <w:bCs/>
          <w:lang w:eastAsia="lv-LV"/>
        </w:rPr>
        <w:t xml:space="preserve"> – </w:t>
      </w:r>
      <w:r>
        <w:rPr>
          <w:rFonts w:ascii="Times New Roman" w:eastAsia="Calibri" w:hAnsi="Times New Roman"/>
          <w:bCs/>
          <w:iCs/>
          <w:lang w:eastAsia="lv-LV"/>
        </w:rPr>
        <w:t>Digitālo un drukas materiālu dizaina izstrāde.</w:t>
      </w:r>
    </w:p>
    <w:p w:rsidR="00E233BC" w:rsidRPr="00E233BC" w:rsidRDefault="008F1BAE"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 xml:space="preserve">CPV nomenklatūras kods: </w:t>
      </w:r>
      <w:r w:rsidR="00841647">
        <w:rPr>
          <w:rFonts w:ascii="Times New Roman" w:hAnsi="Times New Roman"/>
          <w:shd w:val="clear" w:color="auto" w:fill="FFFFFF"/>
        </w:rPr>
        <w:t>798225</w:t>
      </w:r>
      <w:r w:rsidR="00A0729E">
        <w:rPr>
          <w:rFonts w:ascii="Times New Roman" w:hAnsi="Times New Roman"/>
          <w:shd w:val="clear" w:color="auto" w:fill="FFFFFF"/>
        </w:rPr>
        <w:t>00-7</w:t>
      </w:r>
      <w:r w:rsidR="00E233BC" w:rsidRPr="00E233BC">
        <w:rPr>
          <w:rFonts w:ascii="Times New Roman" w:hAnsi="Times New Roman"/>
          <w:shd w:val="clear" w:color="auto" w:fill="FFFFFF"/>
        </w:rPr>
        <w:t xml:space="preserve"> (</w:t>
      </w:r>
      <w:r w:rsidR="00A0729E">
        <w:rPr>
          <w:rFonts w:ascii="Times New Roman" w:hAnsi="Times New Roman"/>
          <w:shd w:val="clear" w:color="auto" w:fill="FFFFFF"/>
        </w:rPr>
        <w:t>Grafiskās projektēšanas darbi</w:t>
      </w:r>
      <w:r w:rsidR="00E233BC" w:rsidRPr="00E233BC">
        <w:rPr>
          <w:rFonts w:ascii="Times New Roman" w:hAnsi="Times New Roman"/>
          <w:shd w:val="clear" w:color="auto" w:fill="FFFFFF"/>
        </w:rPr>
        <w:t>).</w:t>
      </w:r>
    </w:p>
    <w:p w:rsidR="00207651" w:rsidRPr="00CF20EA" w:rsidRDefault="008F1BAE"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Piedāvājuma izvēles kritērijs:</w:t>
      </w:r>
      <w:r w:rsidRPr="00E233BC">
        <w:rPr>
          <w:rFonts w:ascii="Times New Roman" w:eastAsia="Times New Roman" w:hAnsi="Times New Roman"/>
          <w:bCs/>
          <w:lang w:eastAsia="lv-LV"/>
        </w:rPr>
        <w:t xml:space="preserve"> </w:t>
      </w:r>
      <w:r w:rsidR="00A0729E">
        <w:rPr>
          <w:rFonts w:ascii="Times New Roman" w:hAnsi="Times New Roman"/>
        </w:rPr>
        <w:t>saimnieciski visizdevīgākais piedāvājums katrā Iepirkuma priekšmetā daļā, kas iegūs vislielāko punktu skaitu un atbilst nolikumā noteiktajām prasībām.</w:t>
      </w:r>
    </w:p>
    <w:p w:rsidR="00483556" w:rsidRDefault="00483556" w:rsidP="00483556">
      <w:pPr>
        <w:pStyle w:val="BodyText"/>
        <w:tabs>
          <w:tab w:val="left" w:pos="0"/>
        </w:tabs>
        <w:spacing w:before="120"/>
        <w:rPr>
          <w:b/>
        </w:rPr>
      </w:pPr>
      <w:r>
        <w:rPr>
          <w:b/>
        </w:rPr>
        <w:t>Iepirkuma 1. daļa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64"/>
        <w:gridCol w:w="1701"/>
        <w:gridCol w:w="4961"/>
      </w:tblGrid>
      <w:tr w:rsidR="00483556" w:rsidTr="00483556">
        <w:tc>
          <w:tcPr>
            <w:tcW w:w="64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Nr.</w:t>
            </w:r>
          </w:p>
        </w:tc>
        <w:tc>
          <w:tcPr>
            <w:tcW w:w="1764"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Vērtējamais kritērijs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Maksimālais punktu skaits</w:t>
            </w:r>
          </w:p>
        </w:tc>
        <w:tc>
          <w:tcPr>
            <w:tcW w:w="496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Vērtēšanas metodika</w:t>
            </w:r>
          </w:p>
        </w:tc>
      </w:tr>
      <w:tr w:rsidR="00483556" w:rsidTr="00483556">
        <w:tc>
          <w:tcPr>
            <w:tcW w:w="641"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t>1.</w:t>
            </w:r>
          </w:p>
        </w:tc>
        <w:tc>
          <w:tcPr>
            <w:tcW w:w="1764"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rPr>
                <w:b/>
              </w:rPr>
              <w:t>Piedāvātā cena (C)</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50</w:t>
            </w:r>
          </w:p>
        </w:tc>
        <w:tc>
          <w:tcPr>
            <w:tcW w:w="4961" w:type="dxa"/>
            <w:tcBorders>
              <w:top w:val="single" w:sz="4" w:space="0" w:color="auto"/>
              <w:left w:val="single" w:sz="4" w:space="0" w:color="auto"/>
              <w:bottom w:val="single" w:sz="4" w:space="0" w:color="auto"/>
              <w:right w:val="single" w:sz="4" w:space="0" w:color="auto"/>
            </w:tcBorders>
          </w:tcPr>
          <w:p w:rsidR="00483556" w:rsidRPr="004F30D0" w:rsidRDefault="00483556" w:rsidP="001955FF">
            <w:pPr>
              <w:pStyle w:val="BodyText"/>
            </w:pPr>
            <w:r w:rsidRPr="004F30D0">
              <w:t>Zemākā cena, ko nosaka saskaņā ar šādu formulu:</w:t>
            </w:r>
          </w:p>
          <w:p w:rsidR="00483556" w:rsidRPr="004F30D0" w:rsidRDefault="00483556" w:rsidP="001955FF">
            <w:pPr>
              <w:jc w:val="center"/>
              <w:rPr>
                <w:rFonts w:ascii="Times New Roman" w:hAnsi="Times New Roman"/>
              </w:rPr>
            </w:pPr>
            <w:r w:rsidRPr="004F30D0">
              <w:rPr>
                <w:rFonts w:ascii="Times New Roman" w:hAnsi="Times New Roman"/>
                <w:noProof/>
                <w:lang w:val="en-US"/>
              </w:rPr>
              <mc:AlternateContent>
                <mc:Choice Requires="wpc">
                  <w:drawing>
                    <wp:inline distT="0" distB="0" distL="0" distR="0" wp14:anchorId="35C13B21" wp14:editId="51063B20">
                      <wp:extent cx="1272540" cy="654685"/>
                      <wp:effectExtent l="0" t="0" r="0" b="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781685" y="119380"/>
                                  <a:ext cx="1974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color w:val="000000"/>
                                        <w:sz w:val="28"/>
                                        <w:szCs w:val="28"/>
                                        <w:lang w:val="en-US"/>
                                      </w:rPr>
                                      <w:t>50</w:t>
                                    </w:r>
                                  </w:p>
                                </w:txbxContent>
                              </wps:txbx>
                              <wps:bodyPr rot="0" vert="horz" wrap="none" lIns="0" tIns="0" rIns="0" bIns="0" anchor="t" anchorCtr="0" upright="1">
                                <a:spAutoFit/>
                              </wps:bodyPr>
                            </wps:wsp>
                            <wps:wsp>
                              <wps:cNvPr id="4" name="Rectangle 6"/>
                              <wps:cNvSpPr>
                                <a:spLocks noChangeArrowheads="1"/>
                              </wps:cNvSpPr>
                              <wps:spPr bwMode="auto">
                                <a:xfrm>
                                  <a:off x="449580" y="115570"/>
                                  <a:ext cx="16954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proofErr w:type="gramStart"/>
                                    <w:r>
                                      <w:rPr>
                                        <w:color w:val="000000"/>
                                        <w:sz w:val="16"/>
                                        <w:szCs w:val="16"/>
                                        <w:lang w:val="en-US"/>
                                      </w:rPr>
                                      <w:t>min</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rFonts w:ascii="Symbol" w:hAnsi="Symbol" w:cs="Symbol"/>
                                        <w:color w:val="000000"/>
                                        <w:sz w:val="28"/>
                                        <w:szCs w:val="28"/>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rFonts w:ascii="Symbol" w:hAnsi="Symbol" w:cs="Symbol"/>
                                        <w:color w:val="000000"/>
                                        <w:sz w:val="28"/>
                                        <w:szCs w:val="28"/>
                                        <w:lang w:val="en-US"/>
                                      </w:rPr>
                                      <w:t></w:t>
                                    </w:r>
                                  </w:p>
                                </w:txbxContent>
                              </wps:txbx>
                              <wps:bodyPr rot="0" vert="horz" wrap="none" lIns="0" tIns="0" rIns="0" bIns="0" anchor="t" anchorCtr="0" upright="1">
                                <a:spAutoFit/>
                              </wps:bodyPr>
                            </wps:wsp>
                            <wps:wsp>
                              <wps:cNvPr id="7" name="Rectangle 9"/>
                              <wps:cNvSpPr>
                                <a:spLocks noChangeArrowheads="1"/>
                              </wps:cNvSpPr>
                              <wps:spPr bwMode="auto">
                                <a:xfrm>
                                  <a:off x="415925" y="252730"/>
                                  <a:ext cx="1600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proofErr w:type="spellStart"/>
                                    <w:r>
                                      <w:rPr>
                                        <w:i/>
                                        <w:iCs/>
                                        <w:color w:val="000000"/>
                                        <w:sz w:val="28"/>
                                        <w:szCs w:val="28"/>
                                        <w:lang w:val="en-US"/>
                                      </w:rPr>
                                      <w:t>C</w:t>
                                    </w:r>
                                    <w:r>
                                      <w:rPr>
                                        <w:iCs/>
                                        <w:color w:val="000000"/>
                                        <w:sz w:val="28"/>
                                        <w:szCs w:val="28"/>
                                        <w:vertAlign w:val="subscript"/>
                                        <w:lang w:val="en-US"/>
                                      </w:rPr>
                                      <w:t>p</w:t>
                                    </w:r>
                                    <w:proofErr w:type="spellEnd"/>
                                  </w:p>
                                </w:txbxContent>
                              </wps:txbx>
                              <wps:bodyPr rot="0" vert="horz" wrap="none" lIns="0" tIns="0" rIns="0" bIns="0" anchor="t" anchorCtr="0" upright="1">
                                <a:spAutoFit/>
                              </wps:bodyPr>
                            </wps:wsp>
                            <wps:wsp>
                              <wps:cNvPr id="8" name="Rectangle 10"/>
                              <wps:cNvSpPr>
                                <a:spLocks noChangeArrowheads="1"/>
                              </wps:cNvSpPr>
                              <wps:spPr bwMode="auto">
                                <a:xfrm>
                                  <a:off x="326390" y="10160"/>
                                  <a:ext cx="965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i/>
                                        <w:iCs/>
                                        <w:color w:val="000000"/>
                                        <w:sz w:val="28"/>
                                        <w:szCs w:val="28"/>
                                        <w:lang w:val="en-US"/>
                                      </w:rPr>
                                      <w:t>C</w:t>
                                    </w:r>
                                  </w:p>
                                </w:txbxContent>
                              </wps:txbx>
                              <wps:bodyPr rot="0" vert="horz" wrap="none" lIns="0" tIns="0" rIns="0" bIns="0" anchor="t" anchorCtr="0" upright="1">
                                <a:spAutoFit/>
                              </wps:bodyPr>
                            </wps:wsp>
                            <wps:wsp>
                              <wps:cNvPr id="9" name="Rectangle 11"/>
                              <wps:cNvSpPr>
                                <a:spLocks noChangeArrowheads="1"/>
                              </wps:cNvSpPr>
                              <wps:spPr bwMode="auto">
                                <a:xfrm>
                                  <a:off x="10160" y="119380"/>
                                  <a:ext cx="965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i/>
                                        <w:iCs/>
                                        <w:color w:val="000000"/>
                                        <w:sz w:val="28"/>
                                        <w:szCs w:val="28"/>
                                      </w:rPr>
                                      <w:t>C</w:t>
                                    </w:r>
                                  </w:p>
                                </w:txbxContent>
                              </wps:txbx>
                              <wps:bodyPr rot="0" vert="horz" wrap="none" lIns="0" tIns="0" rIns="0" bIns="0" anchor="t" anchorCtr="0" upright="1">
                                <a:spAutoFit/>
                              </wps:bodyPr>
                            </wps:wsp>
                          </wpc:wpc>
                        </a:graphicData>
                      </a:graphic>
                    </wp:inline>
                  </w:drawing>
                </mc:Choice>
                <mc:Fallback>
                  <w:pict>
                    <v:group w14:anchorId="35C13B21" id="Canvas 18" o:spid="_x0000_s1026" editas="canvas" style="width:100.2pt;height:51.55pt;mso-position-horizontal-relative:char;mso-position-vertical-relative:line" coordsize="12725,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6546;visibility:visible;mso-wrap-style:square">
                        <v:fill o:detectmouseclick="t"/>
                        <v:path o:connecttype="none"/>
                      </v:shape>
                      <v:line id="Line 4" o:spid="_x0000_s102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5" o:spid="_x0000_s1029" style="position:absolute;left:7816;top:1193;width:197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83556" w:rsidRDefault="00483556" w:rsidP="00483556">
                              <w:r>
                                <w:rPr>
                                  <w:color w:val="000000"/>
                                  <w:sz w:val="28"/>
                                  <w:szCs w:val="28"/>
                                  <w:lang w:val="en-US"/>
                                </w:rPr>
                                <w:t>50</w:t>
                              </w:r>
                            </w:p>
                          </w:txbxContent>
                        </v:textbox>
                      </v:rect>
                      <v:rect id="Rectangle 6" o:spid="_x0000_s1030" style="position:absolute;left:4495;top:1155;width:1696;height:1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83556" w:rsidRDefault="00483556" w:rsidP="00483556">
                              <w:proofErr w:type="gramStart"/>
                              <w:r>
                                <w:rPr>
                                  <w:color w:val="000000"/>
                                  <w:sz w:val="16"/>
                                  <w:szCs w:val="16"/>
                                  <w:lang w:val="en-US"/>
                                </w:rPr>
                                <w:t>min</w:t>
                              </w:r>
                              <w:proofErr w:type="gramEnd"/>
                            </w:p>
                          </w:txbxContent>
                        </v:textbox>
                      </v:rect>
                      <v:rect id="Rectangle 7" o:spid="_x0000_s103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83556" w:rsidRDefault="00483556" w:rsidP="00483556">
                              <w:r>
                                <w:rPr>
                                  <w:rFonts w:ascii="Symbol" w:hAnsi="Symbol" w:cs="Symbol"/>
                                  <w:color w:val="000000"/>
                                  <w:sz w:val="28"/>
                                  <w:szCs w:val="28"/>
                                  <w:lang w:val="en-US"/>
                                </w:rPr>
                                <w:t></w:t>
                              </w:r>
                            </w:p>
                          </w:txbxContent>
                        </v:textbox>
                      </v:rect>
                      <v:rect id="Rectangle 8" o:spid="_x0000_s103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83556" w:rsidRDefault="00483556" w:rsidP="00483556">
                              <w:r>
                                <w:rPr>
                                  <w:rFonts w:ascii="Symbol" w:hAnsi="Symbol" w:cs="Symbol"/>
                                  <w:color w:val="000000"/>
                                  <w:sz w:val="28"/>
                                  <w:szCs w:val="28"/>
                                  <w:lang w:val="en-US"/>
                                </w:rPr>
                                <w:t></w:t>
                              </w:r>
                            </w:p>
                          </w:txbxContent>
                        </v:textbox>
                      </v:rect>
                      <v:rect id="Rectangle 9" o:spid="_x0000_s1033" style="position:absolute;left:4159;top:2527;width:1600;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83556" w:rsidRDefault="00483556" w:rsidP="00483556">
                              <w:proofErr w:type="spellStart"/>
                              <w:r>
                                <w:rPr>
                                  <w:i/>
                                  <w:iCs/>
                                  <w:color w:val="000000"/>
                                  <w:sz w:val="28"/>
                                  <w:szCs w:val="28"/>
                                  <w:lang w:val="en-US"/>
                                </w:rPr>
                                <w:t>C</w:t>
                              </w:r>
                              <w:r>
                                <w:rPr>
                                  <w:iCs/>
                                  <w:color w:val="000000"/>
                                  <w:sz w:val="28"/>
                                  <w:szCs w:val="28"/>
                                  <w:vertAlign w:val="subscript"/>
                                  <w:lang w:val="en-US"/>
                                </w:rPr>
                                <w:t>p</w:t>
                              </w:r>
                              <w:proofErr w:type="spellEnd"/>
                            </w:p>
                          </w:txbxContent>
                        </v:textbox>
                      </v:rect>
                      <v:rect id="Rectangle 10" o:spid="_x0000_s1034" style="position:absolute;left:3263;top:101;width:966;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83556" w:rsidRDefault="00483556" w:rsidP="00483556">
                              <w:r>
                                <w:rPr>
                                  <w:i/>
                                  <w:iCs/>
                                  <w:color w:val="000000"/>
                                  <w:sz w:val="28"/>
                                  <w:szCs w:val="28"/>
                                  <w:lang w:val="en-US"/>
                                </w:rPr>
                                <w:t>C</w:t>
                              </w:r>
                            </w:p>
                          </w:txbxContent>
                        </v:textbox>
                      </v:rect>
                      <v:rect id="Rectangle 11" o:spid="_x0000_s1035" style="position:absolute;left:101;top:1193;width:96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83556" w:rsidRDefault="00483556" w:rsidP="00483556">
                              <w:r>
                                <w:rPr>
                                  <w:i/>
                                  <w:iCs/>
                                  <w:color w:val="000000"/>
                                  <w:sz w:val="28"/>
                                  <w:szCs w:val="28"/>
                                </w:rPr>
                                <w:t>C</w:t>
                              </w:r>
                            </w:p>
                          </w:txbxContent>
                        </v:textbox>
                      </v:rect>
                      <w10:anchorlock/>
                    </v:group>
                  </w:pict>
                </mc:Fallback>
              </mc:AlternateContent>
            </w:r>
          </w:p>
          <w:p w:rsidR="00483556" w:rsidRPr="004F30D0" w:rsidRDefault="00483556" w:rsidP="001955FF">
            <w:pPr>
              <w:jc w:val="both"/>
              <w:rPr>
                <w:rFonts w:ascii="Times New Roman" w:hAnsi="Times New Roman"/>
              </w:rPr>
            </w:pPr>
            <w:r w:rsidRPr="004F30D0">
              <w:rPr>
                <w:rFonts w:ascii="Times New Roman" w:hAnsi="Times New Roman"/>
              </w:rPr>
              <w:t>kur:</w:t>
            </w:r>
          </w:p>
          <w:p w:rsidR="00483556" w:rsidRPr="004F30D0" w:rsidRDefault="00483556" w:rsidP="001955FF">
            <w:pPr>
              <w:tabs>
                <w:tab w:val="left" w:pos="-4111"/>
                <w:tab w:val="left" w:pos="-3969"/>
              </w:tabs>
              <w:ind w:left="34"/>
              <w:rPr>
                <w:rFonts w:ascii="Times New Roman" w:hAnsi="Times New Roman"/>
              </w:rPr>
            </w:pPr>
            <w:proofErr w:type="spellStart"/>
            <w:r w:rsidRPr="004F30D0">
              <w:rPr>
                <w:rFonts w:ascii="Times New Roman" w:hAnsi="Times New Roman"/>
              </w:rPr>
              <w:t>C</w:t>
            </w:r>
            <w:r w:rsidRPr="004F30D0">
              <w:rPr>
                <w:rFonts w:ascii="Times New Roman" w:hAnsi="Times New Roman"/>
                <w:vertAlign w:val="subscript"/>
              </w:rPr>
              <w:t>min</w:t>
            </w:r>
            <w:proofErr w:type="spellEnd"/>
            <w:r w:rsidRPr="004F30D0">
              <w:rPr>
                <w:rFonts w:ascii="Times New Roman" w:hAnsi="Times New Roman"/>
              </w:rPr>
              <w:t xml:space="preserve"> = Zemākā piedāvātā cena no visiem; piedāvājumiem</w:t>
            </w:r>
          </w:p>
          <w:p w:rsidR="00483556" w:rsidRDefault="00483556" w:rsidP="001955FF">
            <w:pPr>
              <w:tabs>
                <w:tab w:val="left" w:pos="-4111"/>
                <w:tab w:val="left" w:pos="-3969"/>
              </w:tabs>
              <w:ind w:left="34"/>
            </w:pPr>
            <w:r w:rsidRPr="004F30D0">
              <w:rPr>
                <w:rFonts w:ascii="Times New Roman" w:hAnsi="Times New Roman"/>
              </w:rPr>
              <w:t>C</w:t>
            </w:r>
            <w:r w:rsidRPr="004F30D0">
              <w:rPr>
                <w:rFonts w:ascii="Times New Roman" w:hAnsi="Times New Roman"/>
                <w:vertAlign w:val="subscript"/>
              </w:rPr>
              <w:t>P</w:t>
            </w:r>
            <w:r w:rsidRPr="004F30D0">
              <w:rPr>
                <w:rFonts w:ascii="Times New Roman" w:hAnsi="Times New Roman"/>
              </w:rPr>
              <w:t xml:space="preserve"> = Pretendenta piedāvātā cena.</w:t>
            </w:r>
          </w:p>
        </w:tc>
      </w:tr>
      <w:tr w:rsidR="00483556" w:rsidTr="00483556">
        <w:trPr>
          <w:trHeight w:val="2294"/>
        </w:trPr>
        <w:tc>
          <w:tcPr>
            <w:tcW w:w="641" w:type="dxa"/>
            <w:tcBorders>
              <w:top w:val="single" w:sz="4" w:space="0" w:color="auto"/>
              <w:left w:val="single" w:sz="4" w:space="0" w:color="auto"/>
              <w:bottom w:val="single" w:sz="4" w:space="0" w:color="auto"/>
              <w:right w:val="single" w:sz="4" w:space="0" w:color="auto"/>
            </w:tcBorders>
          </w:tcPr>
          <w:p w:rsidR="00483556" w:rsidRDefault="00483556" w:rsidP="001955FF">
            <w:pPr>
              <w:pStyle w:val="BodyText"/>
            </w:pPr>
            <w:r>
              <w:t>2.</w:t>
            </w:r>
          </w:p>
          <w:p w:rsidR="00483556" w:rsidRDefault="00483556" w:rsidP="001955FF">
            <w:pPr>
              <w:pStyle w:val="BodyText"/>
            </w:pPr>
          </w:p>
          <w:p w:rsidR="00483556" w:rsidRDefault="00483556" w:rsidP="001955FF">
            <w:pPr>
              <w:pStyle w:val="BodyText"/>
            </w:pPr>
          </w:p>
        </w:tc>
        <w:tc>
          <w:tcPr>
            <w:tcW w:w="1764"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rPr>
                <w:b/>
              </w:rPr>
              <w:t xml:space="preserve">Kvalitāte (iesniegto </w:t>
            </w:r>
            <w:proofErr w:type="spellStart"/>
            <w:r>
              <w:rPr>
                <w:b/>
              </w:rPr>
              <w:t>portfolio</w:t>
            </w:r>
            <w:proofErr w:type="spellEnd"/>
            <w:r>
              <w:rPr>
                <w:b/>
              </w:rPr>
              <w:t xml:space="preserve"> vērtējums) (Q)</w:t>
            </w:r>
          </w:p>
        </w:tc>
        <w:tc>
          <w:tcPr>
            <w:tcW w:w="1701" w:type="dxa"/>
            <w:tcBorders>
              <w:top w:val="single" w:sz="4" w:space="0" w:color="auto"/>
              <w:left w:val="single" w:sz="4" w:space="0" w:color="auto"/>
              <w:bottom w:val="single" w:sz="4" w:space="0" w:color="auto"/>
              <w:right w:val="single" w:sz="4" w:space="0" w:color="auto"/>
            </w:tcBorders>
            <w:vAlign w:val="center"/>
          </w:tcPr>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rPr>
                <w:b/>
              </w:rPr>
            </w:pPr>
          </w:p>
          <w:p w:rsidR="00483556" w:rsidRDefault="00483556" w:rsidP="001955FF">
            <w:pPr>
              <w:pStyle w:val="BodyText"/>
              <w:jc w:val="center"/>
              <w:rPr>
                <w:b/>
              </w:rPr>
            </w:pPr>
            <w:r>
              <w:rPr>
                <w:b/>
              </w:rPr>
              <w:t>50</w:t>
            </w:r>
          </w:p>
        </w:tc>
        <w:tc>
          <w:tcPr>
            <w:tcW w:w="4961" w:type="dxa"/>
            <w:tcBorders>
              <w:top w:val="single" w:sz="4" w:space="0" w:color="auto"/>
              <w:left w:val="single" w:sz="4" w:space="0" w:color="auto"/>
              <w:bottom w:val="single" w:sz="4" w:space="0" w:color="auto"/>
              <w:right w:val="single" w:sz="4" w:space="0" w:color="auto"/>
            </w:tcBorders>
          </w:tcPr>
          <w:p w:rsidR="00483556" w:rsidRDefault="00483556" w:rsidP="001955FF">
            <w:pPr>
              <w:pStyle w:val="BodyText"/>
            </w:pPr>
            <w:r>
              <w:t xml:space="preserve">Vērtējumu noteiks Iepirkuma komisija, par katru no šiem </w:t>
            </w:r>
            <w:proofErr w:type="spellStart"/>
            <w:r>
              <w:t>apakškritērijiem</w:t>
            </w:r>
            <w:proofErr w:type="spellEnd"/>
            <w:r>
              <w:t xml:space="preserve"> piešķirot punktus (kumulatīvs vērtējums), ja </w:t>
            </w:r>
            <w:proofErr w:type="spellStart"/>
            <w:r>
              <w:t>apakškritērijs</w:t>
            </w:r>
            <w:proofErr w:type="spellEnd"/>
            <w:r>
              <w:t xml:space="preserve"> ir izpildīts:</w:t>
            </w:r>
          </w:p>
          <w:p w:rsidR="00483556" w:rsidRDefault="00483556" w:rsidP="00483556">
            <w:pPr>
              <w:pStyle w:val="BodyText"/>
              <w:numPr>
                <w:ilvl w:val="0"/>
                <w:numId w:val="14"/>
              </w:numPr>
              <w:shd w:val="clear" w:color="auto" w:fill="FFFFFF"/>
              <w:autoSpaceDE w:val="0"/>
              <w:autoSpaceDN w:val="0"/>
              <w:adjustRightInd w:val="0"/>
              <w:jc w:val="left"/>
            </w:pPr>
            <w:r>
              <w:t xml:space="preserve">Datu </w:t>
            </w:r>
            <w:proofErr w:type="spellStart"/>
            <w:r>
              <w:t>vizualizācija</w:t>
            </w:r>
            <w:proofErr w:type="spellEnd"/>
            <w:r>
              <w:t xml:space="preserve"> pielāgota mērķauditorijai. </w:t>
            </w:r>
          </w:p>
          <w:p w:rsidR="00483556" w:rsidRDefault="00483556" w:rsidP="001955FF">
            <w:pPr>
              <w:pStyle w:val="BodyText"/>
              <w:ind w:left="720"/>
              <w:rPr>
                <w:b/>
              </w:rPr>
            </w:pPr>
            <w:r>
              <w:rPr>
                <w:b/>
              </w:rPr>
              <w:t>(10 punkti)</w:t>
            </w:r>
          </w:p>
          <w:p w:rsidR="00483556" w:rsidRPr="007B1D6A" w:rsidRDefault="00483556" w:rsidP="00483556">
            <w:pPr>
              <w:numPr>
                <w:ilvl w:val="1"/>
                <w:numId w:val="15"/>
              </w:numPr>
              <w:contextualSpacing/>
              <w:rPr>
                <w:rFonts w:ascii="Times New Roman" w:hAnsi="Times New Roman"/>
              </w:rPr>
            </w:pPr>
            <w:r w:rsidRPr="007B1D6A">
              <w:rPr>
                <w:rFonts w:ascii="Times New Roman" w:hAnsi="Times New Roman"/>
              </w:rPr>
              <w:t>neatbilst vērtējamajam kritērijam, komisija piešķir 0 punktus;</w:t>
            </w:r>
          </w:p>
          <w:p w:rsidR="00483556" w:rsidRPr="007B1D6A" w:rsidRDefault="00483556" w:rsidP="00483556">
            <w:pPr>
              <w:numPr>
                <w:ilvl w:val="1"/>
                <w:numId w:val="15"/>
              </w:numPr>
              <w:contextualSpacing/>
              <w:rPr>
                <w:rFonts w:ascii="Times New Roman" w:hAnsi="Times New Roman"/>
              </w:rPr>
            </w:pPr>
            <w:r w:rsidRPr="007B1D6A">
              <w:rPr>
                <w:rFonts w:ascii="Times New Roman" w:hAnsi="Times New Roman"/>
              </w:rPr>
              <w:t>daļēji atbilst vērtējamajam kritērijam, komisija piešķir 5 punktus;</w:t>
            </w:r>
          </w:p>
          <w:p w:rsidR="00483556" w:rsidRPr="007B1D6A" w:rsidRDefault="00483556" w:rsidP="00483556">
            <w:pPr>
              <w:numPr>
                <w:ilvl w:val="1"/>
                <w:numId w:val="15"/>
              </w:numPr>
              <w:spacing w:after="200"/>
              <w:contextualSpacing/>
              <w:rPr>
                <w:rFonts w:ascii="Times New Roman" w:hAnsi="Times New Roman"/>
              </w:rPr>
            </w:pPr>
            <w:r w:rsidRPr="007B1D6A">
              <w:rPr>
                <w:rFonts w:ascii="Times New Roman" w:hAnsi="Times New Roman"/>
              </w:rPr>
              <w:lastRenderedPageBreak/>
              <w:t>pilnībā atbilst vērtējamajam kritērijam, komisija piešķir 10 punktus.</w:t>
            </w:r>
          </w:p>
          <w:p w:rsidR="00483556" w:rsidRDefault="00483556" w:rsidP="00483556">
            <w:pPr>
              <w:pStyle w:val="BodyText"/>
              <w:numPr>
                <w:ilvl w:val="0"/>
                <w:numId w:val="14"/>
              </w:numPr>
              <w:shd w:val="clear" w:color="auto" w:fill="FFFFFF"/>
              <w:autoSpaceDE w:val="0"/>
              <w:autoSpaceDN w:val="0"/>
              <w:adjustRightInd w:val="0"/>
              <w:jc w:val="left"/>
            </w:pPr>
            <w:r>
              <w:t xml:space="preserve">Izmantoti precīzi, tekstu paskaidrojoši simboli. </w:t>
            </w:r>
          </w:p>
          <w:p w:rsidR="00483556" w:rsidRDefault="00483556" w:rsidP="001955FF">
            <w:pPr>
              <w:pStyle w:val="BodyText"/>
              <w:ind w:left="720"/>
            </w:pPr>
            <w:r>
              <w:rPr>
                <w:b/>
              </w:rPr>
              <w:t>(5 punkti)</w:t>
            </w:r>
          </w:p>
          <w:p w:rsidR="00483556" w:rsidRDefault="00483556" w:rsidP="00483556">
            <w:pPr>
              <w:pStyle w:val="BodyText"/>
              <w:numPr>
                <w:ilvl w:val="0"/>
                <w:numId w:val="14"/>
              </w:numPr>
              <w:shd w:val="clear" w:color="auto" w:fill="FFFFFF"/>
              <w:autoSpaceDE w:val="0"/>
              <w:autoSpaceDN w:val="0"/>
              <w:adjustRightInd w:val="0"/>
              <w:jc w:val="left"/>
            </w:pPr>
            <w:r>
              <w:t xml:space="preserve">Koncentrētā veidā vizualizēts pietiekami plašs datu kopums (attēloti dažādi dati un saturiski vismaz piecas informācijas vienības). </w:t>
            </w:r>
          </w:p>
          <w:p w:rsidR="00483556" w:rsidRPr="004F30D0" w:rsidRDefault="00483556" w:rsidP="001955FF">
            <w:pPr>
              <w:pStyle w:val="BodyText"/>
              <w:ind w:left="720"/>
            </w:pPr>
            <w:r w:rsidRPr="004F30D0">
              <w:rPr>
                <w:b/>
              </w:rPr>
              <w:t>(10 punkti)</w:t>
            </w:r>
          </w:p>
          <w:p w:rsidR="00483556" w:rsidRPr="004F30D0" w:rsidRDefault="00483556" w:rsidP="00483556">
            <w:pPr>
              <w:pStyle w:val="BodyText"/>
              <w:numPr>
                <w:ilvl w:val="0"/>
                <w:numId w:val="14"/>
              </w:numPr>
              <w:shd w:val="clear" w:color="auto" w:fill="FFFFFF"/>
              <w:autoSpaceDE w:val="0"/>
              <w:autoSpaceDN w:val="0"/>
              <w:adjustRightInd w:val="0"/>
              <w:spacing w:after="120"/>
              <w:jc w:val="left"/>
            </w:pPr>
            <w:r w:rsidRPr="004F30D0">
              <w:t>Norādīts informācijas avots.</w:t>
            </w:r>
            <w:r w:rsidRPr="004F30D0">
              <w:br/>
            </w:r>
            <w:r w:rsidRPr="004F30D0">
              <w:rPr>
                <w:b/>
              </w:rPr>
              <w:t>(5 punkti)</w:t>
            </w:r>
          </w:p>
          <w:p w:rsidR="00483556" w:rsidRDefault="00483556" w:rsidP="00483556">
            <w:pPr>
              <w:pStyle w:val="BodyText"/>
              <w:numPr>
                <w:ilvl w:val="0"/>
                <w:numId w:val="14"/>
              </w:numPr>
              <w:shd w:val="clear" w:color="auto" w:fill="FFFFFF"/>
              <w:autoSpaceDE w:val="0"/>
              <w:autoSpaceDN w:val="0"/>
              <w:adjustRightInd w:val="0"/>
              <w:jc w:val="left"/>
            </w:pPr>
            <w:r>
              <w:t>Kompozīcijas atbilstība vispārpieņemtajiem kanoniem (līnijas, laukums, punkts, krāsas (dominante, ritmi, kontrasti), forma, grafika, burtu fonts, ievērots līdzsvars (simetrija un asimetrija), proporcijas, elegance, vienkāršība).</w:t>
            </w:r>
          </w:p>
          <w:p w:rsidR="00483556" w:rsidRDefault="00483556" w:rsidP="001955FF">
            <w:pPr>
              <w:pStyle w:val="BodyText"/>
              <w:shd w:val="clear" w:color="auto" w:fill="FFFFFF"/>
              <w:autoSpaceDE w:val="0"/>
              <w:autoSpaceDN w:val="0"/>
              <w:adjustRightInd w:val="0"/>
              <w:ind w:left="720"/>
            </w:pPr>
            <w:r w:rsidRPr="00536F66">
              <w:rPr>
                <w:b/>
              </w:rPr>
              <w:t>(5 punkti)</w:t>
            </w:r>
          </w:p>
          <w:p w:rsidR="00483556" w:rsidRDefault="00483556" w:rsidP="00483556">
            <w:pPr>
              <w:pStyle w:val="BodyText"/>
              <w:numPr>
                <w:ilvl w:val="0"/>
                <w:numId w:val="14"/>
              </w:numPr>
              <w:shd w:val="clear" w:color="auto" w:fill="FFFFFF"/>
              <w:autoSpaceDE w:val="0"/>
              <w:autoSpaceDN w:val="0"/>
              <w:adjustRightInd w:val="0"/>
              <w:jc w:val="left"/>
            </w:pPr>
            <w:r>
              <w:t xml:space="preserve">Izstrādātās </w:t>
            </w:r>
            <w:proofErr w:type="spellStart"/>
            <w:r>
              <w:t>infografikas</w:t>
            </w:r>
            <w:proofErr w:type="spellEnd"/>
            <w:r>
              <w:t xml:space="preserve"> publicētas plašsaziņas līdzekļos (žurnāli, laikraksti, interneta portāli vai TV).</w:t>
            </w:r>
          </w:p>
          <w:p w:rsidR="00483556" w:rsidRDefault="00483556" w:rsidP="001955FF">
            <w:pPr>
              <w:pStyle w:val="BodyText"/>
              <w:ind w:left="720"/>
              <w:rPr>
                <w:b/>
              </w:rPr>
            </w:pPr>
            <w:r>
              <w:rPr>
                <w:b/>
              </w:rPr>
              <w:t>(15 punkti)</w:t>
            </w:r>
          </w:p>
          <w:p w:rsidR="00483556" w:rsidRDefault="00483556" w:rsidP="001955FF">
            <w:pPr>
              <w:pStyle w:val="BodyText"/>
            </w:pPr>
          </w:p>
        </w:tc>
      </w:tr>
      <w:tr w:rsidR="00483556" w:rsidTr="00483556">
        <w:tc>
          <w:tcPr>
            <w:tcW w:w="641"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lastRenderedPageBreak/>
              <w:t>3.</w:t>
            </w:r>
          </w:p>
        </w:tc>
        <w:tc>
          <w:tcPr>
            <w:tcW w:w="1764"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rPr>
                <w:b/>
              </w:rPr>
            </w:pPr>
            <w:r>
              <w:rPr>
                <w:b/>
              </w:rPr>
              <w:t>Kopā (V)</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100</w:t>
            </w:r>
          </w:p>
        </w:tc>
        <w:tc>
          <w:tcPr>
            <w:tcW w:w="4961"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t>V = C + Q</w:t>
            </w:r>
          </w:p>
        </w:tc>
      </w:tr>
    </w:tbl>
    <w:p w:rsidR="00483556" w:rsidRDefault="00483556" w:rsidP="0066563A">
      <w:pPr>
        <w:pStyle w:val="BodyText"/>
        <w:tabs>
          <w:tab w:val="left" w:pos="0"/>
        </w:tabs>
      </w:pPr>
    </w:p>
    <w:p w:rsidR="00483556" w:rsidRDefault="00483556" w:rsidP="00483556">
      <w:pPr>
        <w:pStyle w:val="BodyText"/>
        <w:tabs>
          <w:tab w:val="left" w:pos="0"/>
        </w:tabs>
        <w:spacing w:before="120"/>
        <w:rPr>
          <w:b/>
        </w:rPr>
      </w:pPr>
      <w:r>
        <w:rPr>
          <w:b/>
        </w:rPr>
        <w:t>Iepirkuma 2. daļa</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763"/>
        <w:gridCol w:w="1701"/>
        <w:gridCol w:w="4884"/>
      </w:tblGrid>
      <w:tr w:rsidR="00483556" w:rsidTr="001955FF">
        <w:tc>
          <w:tcPr>
            <w:tcW w:w="642"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Nr.</w:t>
            </w:r>
          </w:p>
        </w:tc>
        <w:tc>
          <w:tcPr>
            <w:tcW w:w="1763"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Vērtējamais kritērijs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Maksimālais punktu skaits</w:t>
            </w:r>
          </w:p>
        </w:tc>
        <w:tc>
          <w:tcPr>
            <w:tcW w:w="4884"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Vērtēšanas metodika</w:t>
            </w:r>
          </w:p>
        </w:tc>
      </w:tr>
      <w:tr w:rsidR="00483556" w:rsidTr="001955FF">
        <w:tc>
          <w:tcPr>
            <w:tcW w:w="642"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t>1.</w:t>
            </w:r>
          </w:p>
        </w:tc>
        <w:tc>
          <w:tcPr>
            <w:tcW w:w="1763"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rPr>
                <w:b/>
              </w:rPr>
              <w:t>Piedāvātā cena (C)</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50</w:t>
            </w:r>
          </w:p>
        </w:tc>
        <w:tc>
          <w:tcPr>
            <w:tcW w:w="4884" w:type="dxa"/>
            <w:tcBorders>
              <w:top w:val="single" w:sz="4" w:space="0" w:color="auto"/>
              <w:left w:val="single" w:sz="4" w:space="0" w:color="auto"/>
              <w:bottom w:val="single" w:sz="4" w:space="0" w:color="auto"/>
              <w:right w:val="single" w:sz="4" w:space="0" w:color="auto"/>
            </w:tcBorders>
          </w:tcPr>
          <w:p w:rsidR="00483556" w:rsidRDefault="00483556" w:rsidP="001955FF">
            <w:pPr>
              <w:pStyle w:val="BodyText"/>
            </w:pPr>
            <w:r>
              <w:t>Zemākā cena, ko nosaka saskaņā ar šādu formulu:</w:t>
            </w:r>
          </w:p>
          <w:p w:rsidR="00483556" w:rsidRDefault="00483556" w:rsidP="001955FF">
            <w:pPr>
              <w:pStyle w:val="BodyText"/>
            </w:pPr>
          </w:p>
          <w:p w:rsidR="00483556" w:rsidRDefault="00483556" w:rsidP="001955FF">
            <w:pPr>
              <w:jc w:val="both"/>
            </w:pPr>
            <w:r>
              <w:rPr>
                <w:noProof/>
                <w:lang w:val="en-US"/>
              </w:rPr>
              <mc:AlternateContent>
                <mc:Choice Requires="wpc">
                  <w:drawing>
                    <wp:inline distT="0" distB="0" distL="0" distR="0" wp14:anchorId="7717282B" wp14:editId="4E6CE8E4">
                      <wp:extent cx="1272540" cy="629285"/>
                      <wp:effectExtent l="0" t="0" r="0" b="18415"/>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Line 14"/>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781685" y="119380"/>
                                  <a:ext cx="1974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color w:val="000000"/>
                                        <w:sz w:val="28"/>
                                        <w:szCs w:val="28"/>
                                        <w:lang w:val="en-US"/>
                                      </w:rPr>
                                      <w:t>50</w:t>
                                    </w:r>
                                  </w:p>
                                </w:txbxContent>
                              </wps:txbx>
                              <wps:bodyPr rot="0" vert="horz" wrap="none" lIns="0" tIns="0" rIns="0" bIns="0" anchor="t" anchorCtr="0" upright="1">
                                <a:spAutoFit/>
                              </wps:bodyPr>
                            </wps:wsp>
                            <wps:wsp>
                              <wps:cNvPr id="12" name="Rectangle 16"/>
                              <wps:cNvSpPr>
                                <a:spLocks noChangeArrowheads="1"/>
                              </wps:cNvSpPr>
                              <wps:spPr bwMode="auto">
                                <a:xfrm>
                                  <a:off x="449580" y="115570"/>
                                  <a:ext cx="16954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proofErr w:type="gramStart"/>
                                    <w:r>
                                      <w:rPr>
                                        <w:color w:val="000000"/>
                                        <w:sz w:val="16"/>
                                        <w:szCs w:val="16"/>
                                        <w:lang w:val="en-US"/>
                                      </w:rPr>
                                      <w:t>min</w:t>
                                    </w:r>
                                    <w:proofErr w:type="gramEnd"/>
                                  </w:p>
                                </w:txbxContent>
                              </wps:txbx>
                              <wps:bodyPr rot="0" vert="horz" wrap="none" lIns="0" tIns="0" rIns="0" bIns="0" anchor="t" anchorCtr="0" upright="1">
                                <a:spAutoFit/>
                              </wps:bodyPr>
                            </wps:wsp>
                            <wps:wsp>
                              <wps:cNvPr id="13" name="Rectangle 1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rFonts w:ascii="Symbol" w:hAnsi="Symbol" w:cs="Symbol"/>
                                        <w:color w:val="000000"/>
                                        <w:sz w:val="28"/>
                                        <w:szCs w:val="28"/>
                                        <w:lang w:val="en-US"/>
                                      </w:rPr>
                                      <w:t></w:t>
                                    </w:r>
                                  </w:p>
                                </w:txbxContent>
                              </wps:txbx>
                              <wps:bodyPr rot="0" vert="horz" wrap="none" lIns="0" tIns="0" rIns="0" bIns="0" anchor="t" anchorCtr="0" upright="1">
                                <a:spAutoFit/>
                              </wps:bodyPr>
                            </wps:wsp>
                            <wps:wsp>
                              <wps:cNvPr id="14" name="Rectangle 1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rFonts w:ascii="Symbol" w:hAnsi="Symbol" w:cs="Symbol"/>
                                        <w:color w:val="000000"/>
                                        <w:sz w:val="28"/>
                                        <w:szCs w:val="28"/>
                                        <w:lang w:val="en-US"/>
                                      </w:rPr>
                                      <w:t></w:t>
                                    </w:r>
                                  </w:p>
                                </w:txbxContent>
                              </wps:txbx>
                              <wps:bodyPr rot="0" vert="horz" wrap="none" lIns="0" tIns="0" rIns="0" bIns="0" anchor="t" anchorCtr="0" upright="1">
                                <a:spAutoFit/>
                              </wps:bodyPr>
                            </wps:wsp>
                            <wps:wsp>
                              <wps:cNvPr id="15" name="Rectangle 19"/>
                              <wps:cNvSpPr>
                                <a:spLocks noChangeArrowheads="1"/>
                              </wps:cNvSpPr>
                              <wps:spPr bwMode="auto">
                                <a:xfrm>
                                  <a:off x="415925" y="252730"/>
                                  <a:ext cx="1600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proofErr w:type="spellStart"/>
                                    <w:r>
                                      <w:rPr>
                                        <w:i/>
                                        <w:iCs/>
                                        <w:color w:val="000000"/>
                                        <w:sz w:val="28"/>
                                        <w:szCs w:val="28"/>
                                        <w:lang w:val="en-US"/>
                                      </w:rPr>
                                      <w:t>C</w:t>
                                    </w:r>
                                    <w:r>
                                      <w:rPr>
                                        <w:iCs/>
                                        <w:color w:val="000000"/>
                                        <w:sz w:val="28"/>
                                        <w:szCs w:val="28"/>
                                        <w:vertAlign w:val="subscript"/>
                                        <w:lang w:val="en-US"/>
                                      </w:rPr>
                                      <w:t>p</w:t>
                                    </w:r>
                                    <w:proofErr w:type="spellEnd"/>
                                  </w:p>
                                </w:txbxContent>
                              </wps:txbx>
                              <wps:bodyPr rot="0" vert="horz" wrap="none" lIns="0" tIns="0" rIns="0" bIns="0" anchor="t" anchorCtr="0" upright="1">
                                <a:spAutoFit/>
                              </wps:bodyPr>
                            </wps:wsp>
                            <wps:wsp>
                              <wps:cNvPr id="16" name="Rectangle 20"/>
                              <wps:cNvSpPr>
                                <a:spLocks noChangeArrowheads="1"/>
                              </wps:cNvSpPr>
                              <wps:spPr bwMode="auto">
                                <a:xfrm>
                                  <a:off x="326390" y="10160"/>
                                  <a:ext cx="1384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i/>
                                        <w:iCs/>
                                        <w:color w:val="000000"/>
                                        <w:sz w:val="28"/>
                                        <w:szCs w:val="28"/>
                                        <w:lang w:val="en-US"/>
                                      </w:rPr>
                                      <w:t>C</w:t>
                                    </w:r>
                                  </w:p>
                                </w:txbxContent>
                              </wps:txbx>
                              <wps:bodyPr rot="0" vert="horz" wrap="none" lIns="0" tIns="0" rIns="0" bIns="0" anchor="t" anchorCtr="0" upright="1">
                                <a:spAutoFit/>
                              </wps:bodyPr>
                            </wps:wsp>
                            <wps:wsp>
                              <wps:cNvPr id="17" name="Rectangle 21"/>
                              <wps:cNvSpPr>
                                <a:spLocks noChangeArrowheads="1"/>
                              </wps:cNvSpPr>
                              <wps:spPr bwMode="auto">
                                <a:xfrm>
                                  <a:off x="10160" y="119380"/>
                                  <a:ext cx="1384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56" w:rsidRDefault="00483556" w:rsidP="00483556">
                                    <w:r>
                                      <w:rPr>
                                        <w:i/>
                                        <w:iCs/>
                                        <w:color w:val="000000"/>
                                        <w:sz w:val="28"/>
                                        <w:szCs w:val="28"/>
                                      </w:rPr>
                                      <w:t>C</w:t>
                                    </w:r>
                                  </w:p>
                                </w:txbxContent>
                              </wps:txbx>
                              <wps:bodyPr rot="0" vert="horz" wrap="none" lIns="0" tIns="0" rIns="0" bIns="0" anchor="t" anchorCtr="0" upright="1">
                                <a:spAutoFit/>
                              </wps:bodyPr>
                            </wps:wsp>
                          </wpc:wpc>
                        </a:graphicData>
                      </a:graphic>
                    </wp:inline>
                  </w:drawing>
                </mc:Choice>
                <mc:Fallback>
                  <w:pict>
                    <v:group w14:anchorId="7717282B" id="Canvas 1" o:spid="_x0000_s1036" editas="canvas" style="width:100.2pt;height:49.55pt;mso-position-horizontal-relative:char;mso-position-vertical-relative:line" coordsize="1272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">
                      <v:shape id="_x0000_s1037" type="#_x0000_t75" style="position:absolute;width:12725;height:6292;visibility:visible;mso-wrap-style:square">
                        <v:fill o:detectmouseclick="t"/>
                        <v:path o:connecttype="none"/>
                      </v:shape>
                      <v:line id="Line 14" o:spid="_x0000_s103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N0q8UAAADbAAAADwAAAGRycy9kb3ducmV2LnhtbESPT2sCQQzF70K/w5BCbzqrlFJWRxFR&#10;8NAiVQv1Fnayf3AnM+5M3e23bw6F3hLey3u/LFaDa9Wduth4NjCdZKCIC28brgycT7vxK6iYkC22&#10;nsnAD0VYLR9GC8yt7/mD7sdUKQnhmKOBOqWQax2LmhzGiQ/EopW+c5hk7SptO+wl3LV6lmUv2mHD&#10;0lBjoE1NxfX47QyUfdievqaHG9vyc70/PIf3t3Qx5ulxWM9BJRrSv/nvem8FX+j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N0q8UAAADbAAAADwAAAAAAAAAA&#10;AAAAAAChAgAAZHJzL2Rvd25yZXYueG1sUEsFBgAAAAAEAAQA+QAAAJMDAAAAAA==&#10;" strokeweight=".6pt"/>
                      <v:rect id="Rectangle 15" o:spid="_x0000_s1039" style="position:absolute;left:7816;top:1193;width:197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83556" w:rsidRDefault="00483556" w:rsidP="00483556">
                              <w:r>
                                <w:rPr>
                                  <w:color w:val="000000"/>
                                  <w:sz w:val="28"/>
                                  <w:szCs w:val="28"/>
                                  <w:lang w:val="en-US"/>
                                </w:rPr>
                                <w:t>50</w:t>
                              </w:r>
                            </w:p>
                          </w:txbxContent>
                        </v:textbox>
                      </v:rect>
                      <v:rect id="Rectangle 16" o:spid="_x0000_s1040" style="position:absolute;left:4495;top:1155;width:1696;height:1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83556" w:rsidRDefault="00483556" w:rsidP="00483556">
                              <w:proofErr w:type="gramStart"/>
                              <w:r>
                                <w:rPr>
                                  <w:color w:val="000000"/>
                                  <w:sz w:val="16"/>
                                  <w:szCs w:val="16"/>
                                  <w:lang w:val="en-US"/>
                                </w:rPr>
                                <w:t>min</w:t>
                              </w:r>
                              <w:proofErr w:type="gramEnd"/>
                            </w:p>
                          </w:txbxContent>
                        </v:textbox>
                      </v:rect>
                      <v:rect id="Rectangle 17" o:spid="_x0000_s104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83556" w:rsidRDefault="00483556" w:rsidP="00483556">
                              <w:r>
                                <w:rPr>
                                  <w:rFonts w:ascii="Symbol" w:hAnsi="Symbol" w:cs="Symbol"/>
                                  <w:color w:val="000000"/>
                                  <w:sz w:val="28"/>
                                  <w:szCs w:val="28"/>
                                  <w:lang w:val="en-US"/>
                                </w:rPr>
                                <w:t></w:t>
                              </w:r>
                            </w:p>
                          </w:txbxContent>
                        </v:textbox>
                      </v:rect>
                      <v:rect id="Rectangle 18" o:spid="_x0000_s104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83556" w:rsidRDefault="00483556" w:rsidP="00483556">
                              <w:r>
                                <w:rPr>
                                  <w:rFonts w:ascii="Symbol" w:hAnsi="Symbol" w:cs="Symbol"/>
                                  <w:color w:val="000000"/>
                                  <w:sz w:val="28"/>
                                  <w:szCs w:val="28"/>
                                  <w:lang w:val="en-US"/>
                                </w:rPr>
                                <w:t></w:t>
                              </w:r>
                            </w:p>
                          </w:txbxContent>
                        </v:textbox>
                      </v:rect>
                      <v:rect id="Rectangle 19" o:spid="_x0000_s1043" style="position:absolute;left:4159;top:2527;width:1600;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83556" w:rsidRDefault="00483556" w:rsidP="00483556">
                              <w:proofErr w:type="spellStart"/>
                              <w:r>
                                <w:rPr>
                                  <w:i/>
                                  <w:iCs/>
                                  <w:color w:val="000000"/>
                                  <w:sz w:val="28"/>
                                  <w:szCs w:val="28"/>
                                  <w:lang w:val="en-US"/>
                                </w:rPr>
                                <w:t>C</w:t>
                              </w:r>
                              <w:r>
                                <w:rPr>
                                  <w:iCs/>
                                  <w:color w:val="000000"/>
                                  <w:sz w:val="28"/>
                                  <w:szCs w:val="28"/>
                                  <w:vertAlign w:val="subscript"/>
                                  <w:lang w:val="en-US"/>
                                </w:rPr>
                                <w:t>p</w:t>
                              </w:r>
                              <w:proofErr w:type="spellEnd"/>
                            </w:p>
                          </w:txbxContent>
                        </v:textbox>
                      </v:rect>
                      <v:rect id="Rectangle 20" o:spid="_x0000_s1044" style="position:absolute;left:3263;top:101;width:1385;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83556" w:rsidRDefault="00483556" w:rsidP="00483556">
                              <w:r>
                                <w:rPr>
                                  <w:i/>
                                  <w:iCs/>
                                  <w:color w:val="000000"/>
                                  <w:sz w:val="28"/>
                                  <w:szCs w:val="28"/>
                                  <w:lang w:val="en-US"/>
                                </w:rPr>
                                <w:t>C</w:t>
                              </w:r>
                            </w:p>
                          </w:txbxContent>
                        </v:textbox>
                      </v:rect>
                      <v:rect id="Rectangle 21" o:spid="_x0000_s1045" style="position:absolute;left:101;top:1193;width:138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83556" w:rsidRDefault="00483556" w:rsidP="00483556">
                              <w:r>
                                <w:rPr>
                                  <w:i/>
                                  <w:iCs/>
                                  <w:color w:val="000000"/>
                                  <w:sz w:val="28"/>
                                  <w:szCs w:val="28"/>
                                </w:rPr>
                                <w:t>C</w:t>
                              </w:r>
                            </w:p>
                          </w:txbxContent>
                        </v:textbox>
                      </v:rect>
                      <w10:anchorlock/>
                    </v:group>
                  </w:pict>
                </mc:Fallback>
              </mc:AlternateContent>
            </w:r>
          </w:p>
          <w:p w:rsidR="00483556" w:rsidRPr="00D749C9" w:rsidRDefault="00483556" w:rsidP="001955FF">
            <w:pPr>
              <w:jc w:val="both"/>
              <w:rPr>
                <w:rFonts w:ascii="Times New Roman" w:hAnsi="Times New Roman"/>
              </w:rPr>
            </w:pPr>
            <w:r w:rsidRPr="00D749C9">
              <w:rPr>
                <w:rFonts w:ascii="Times New Roman" w:hAnsi="Times New Roman"/>
              </w:rPr>
              <w:t>kur:</w:t>
            </w:r>
          </w:p>
          <w:p w:rsidR="00483556" w:rsidRPr="00D749C9" w:rsidRDefault="00483556" w:rsidP="001955FF">
            <w:pPr>
              <w:tabs>
                <w:tab w:val="left" w:pos="-4111"/>
                <w:tab w:val="left" w:pos="-3969"/>
              </w:tabs>
              <w:ind w:left="34"/>
              <w:rPr>
                <w:rFonts w:ascii="Times New Roman" w:hAnsi="Times New Roman"/>
              </w:rPr>
            </w:pPr>
            <w:proofErr w:type="spellStart"/>
            <w:r w:rsidRPr="00D749C9">
              <w:rPr>
                <w:rFonts w:ascii="Times New Roman" w:hAnsi="Times New Roman"/>
              </w:rPr>
              <w:t>C</w:t>
            </w:r>
            <w:r w:rsidRPr="00D749C9">
              <w:rPr>
                <w:rFonts w:ascii="Times New Roman" w:hAnsi="Times New Roman"/>
                <w:vertAlign w:val="subscript"/>
              </w:rPr>
              <w:t>min</w:t>
            </w:r>
            <w:proofErr w:type="spellEnd"/>
            <w:r w:rsidRPr="00D749C9">
              <w:rPr>
                <w:rFonts w:ascii="Times New Roman" w:hAnsi="Times New Roman"/>
              </w:rPr>
              <w:t xml:space="preserve"> = Zemākā piedāvātā cena no visi</w:t>
            </w:r>
            <w:r>
              <w:rPr>
                <w:rFonts w:ascii="Times New Roman" w:hAnsi="Times New Roman"/>
              </w:rPr>
              <w:t xml:space="preserve">em </w:t>
            </w:r>
            <w:r w:rsidRPr="00D749C9">
              <w:rPr>
                <w:rFonts w:ascii="Times New Roman" w:hAnsi="Times New Roman"/>
              </w:rPr>
              <w:t>piedāvājumiem</w:t>
            </w:r>
          </w:p>
          <w:p w:rsidR="00483556" w:rsidRDefault="00483556" w:rsidP="001955FF">
            <w:pPr>
              <w:tabs>
                <w:tab w:val="left" w:pos="-4111"/>
                <w:tab w:val="left" w:pos="-3969"/>
              </w:tabs>
              <w:ind w:left="34"/>
            </w:pPr>
            <w:r w:rsidRPr="00D749C9">
              <w:rPr>
                <w:rFonts w:ascii="Times New Roman" w:hAnsi="Times New Roman"/>
              </w:rPr>
              <w:t>C</w:t>
            </w:r>
            <w:r w:rsidRPr="00D749C9">
              <w:rPr>
                <w:rFonts w:ascii="Times New Roman" w:hAnsi="Times New Roman"/>
                <w:vertAlign w:val="subscript"/>
              </w:rPr>
              <w:t>P</w:t>
            </w:r>
            <w:r>
              <w:rPr>
                <w:rFonts w:ascii="Times New Roman" w:hAnsi="Times New Roman"/>
              </w:rPr>
              <w:t xml:space="preserve"> = Pretendenta piedāvātā cena</w:t>
            </w:r>
          </w:p>
        </w:tc>
      </w:tr>
      <w:tr w:rsidR="00483556" w:rsidTr="001955FF">
        <w:trPr>
          <w:trHeight w:val="2805"/>
        </w:trPr>
        <w:tc>
          <w:tcPr>
            <w:tcW w:w="642" w:type="dxa"/>
            <w:tcBorders>
              <w:top w:val="single" w:sz="4" w:space="0" w:color="auto"/>
              <w:left w:val="single" w:sz="4" w:space="0" w:color="auto"/>
              <w:bottom w:val="single" w:sz="4" w:space="0" w:color="auto"/>
              <w:right w:val="single" w:sz="4" w:space="0" w:color="auto"/>
            </w:tcBorders>
          </w:tcPr>
          <w:p w:rsidR="00483556" w:rsidRDefault="00483556" w:rsidP="001955FF">
            <w:pPr>
              <w:pStyle w:val="BodyText"/>
            </w:pPr>
            <w:r>
              <w:t>2.</w:t>
            </w:r>
          </w:p>
          <w:p w:rsidR="00483556" w:rsidRDefault="00483556" w:rsidP="001955FF">
            <w:pPr>
              <w:pStyle w:val="BodyText"/>
            </w:pPr>
          </w:p>
          <w:p w:rsidR="00483556" w:rsidRDefault="00483556" w:rsidP="001955FF">
            <w:pPr>
              <w:pStyle w:val="BodyText"/>
            </w:pPr>
          </w:p>
        </w:tc>
        <w:tc>
          <w:tcPr>
            <w:tcW w:w="1763"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rPr>
                <w:b/>
              </w:rPr>
              <w:t xml:space="preserve">Kvalitāte (iesniegto </w:t>
            </w:r>
            <w:proofErr w:type="spellStart"/>
            <w:r>
              <w:rPr>
                <w:b/>
              </w:rPr>
              <w:t>portfolio</w:t>
            </w:r>
            <w:proofErr w:type="spellEnd"/>
            <w:r>
              <w:rPr>
                <w:b/>
              </w:rPr>
              <w:t xml:space="preserve"> vērtējums) (Q)</w:t>
            </w:r>
          </w:p>
        </w:tc>
        <w:tc>
          <w:tcPr>
            <w:tcW w:w="1701" w:type="dxa"/>
            <w:tcBorders>
              <w:top w:val="single" w:sz="4" w:space="0" w:color="auto"/>
              <w:left w:val="single" w:sz="4" w:space="0" w:color="auto"/>
              <w:bottom w:val="single" w:sz="4" w:space="0" w:color="auto"/>
              <w:right w:val="single" w:sz="4" w:space="0" w:color="auto"/>
            </w:tcBorders>
            <w:vAlign w:val="center"/>
          </w:tcPr>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Default="00483556" w:rsidP="001955FF">
            <w:pPr>
              <w:pStyle w:val="BodyText"/>
              <w:jc w:val="center"/>
              <w:rPr>
                <w:b/>
              </w:rPr>
            </w:pPr>
          </w:p>
          <w:p w:rsidR="00483556" w:rsidRPr="00477DAC" w:rsidRDefault="00483556" w:rsidP="001955FF">
            <w:pPr>
              <w:pStyle w:val="BodyText"/>
              <w:jc w:val="center"/>
            </w:pPr>
          </w:p>
          <w:p w:rsidR="00483556" w:rsidRDefault="00483556" w:rsidP="001955FF">
            <w:pPr>
              <w:pStyle w:val="BodyText"/>
              <w:jc w:val="center"/>
              <w:rPr>
                <w:b/>
              </w:rPr>
            </w:pPr>
            <w:r>
              <w:rPr>
                <w:b/>
              </w:rPr>
              <w:t>50</w:t>
            </w:r>
          </w:p>
        </w:tc>
        <w:tc>
          <w:tcPr>
            <w:tcW w:w="4884" w:type="dxa"/>
            <w:tcBorders>
              <w:top w:val="single" w:sz="4" w:space="0" w:color="auto"/>
              <w:left w:val="single" w:sz="4" w:space="0" w:color="auto"/>
              <w:bottom w:val="single" w:sz="4" w:space="0" w:color="auto"/>
              <w:right w:val="single" w:sz="4" w:space="0" w:color="auto"/>
            </w:tcBorders>
          </w:tcPr>
          <w:p w:rsidR="00483556" w:rsidRDefault="00483556" w:rsidP="001955FF">
            <w:pPr>
              <w:pStyle w:val="BodyText"/>
            </w:pPr>
            <w:r>
              <w:t xml:space="preserve">Vērtējumu noteiks Iepirkuma komisija, par katru no šiem </w:t>
            </w:r>
            <w:proofErr w:type="spellStart"/>
            <w:r>
              <w:t>apakškritērijiem</w:t>
            </w:r>
            <w:proofErr w:type="spellEnd"/>
            <w:r>
              <w:t xml:space="preserve"> piešķirot punktus (kumulatīvs vērtējums), ja </w:t>
            </w:r>
            <w:proofErr w:type="spellStart"/>
            <w:r>
              <w:t>apakškritērijs</w:t>
            </w:r>
            <w:proofErr w:type="spellEnd"/>
            <w:r>
              <w:t xml:space="preserve"> ir izpildīts:</w:t>
            </w:r>
          </w:p>
          <w:p w:rsidR="00483556" w:rsidRDefault="00483556" w:rsidP="001955FF">
            <w:pPr>
              <w:pStyle w:val="BodyText"/>
            </w:pPr>
          </w:p>
          <w:p w:rsidR="00483556" w:rsidRDefault="00483556" w:rsidP="00483556">
            <w:pPr>
              <w:pStyle w:val="BodyText"/>
              <w:numPr>
                <w:ilvl w:val="0"/>
                <w:numId w:val="16"/>
              </w:numPr>
              <w:shd w:val="clear" w:color="auto" w:fill="FFFFFF"/>
              <w:autoSpaceDE w:val="0"/>
              <w:autoSpaceDN w:val="0"/>
              <w:adjustRightInd w:val="0"/>
              <w:ind w:left="357" w:hanging="357"/>
              <w:jc w:val="left"/>
            </w:pPr>
            <w:r>
              <w:t>Dizaina materiāla grafiskā un/vai fotogrāfiskā atbilstība galvenajai pasākuma/notikuma idejai.</w:t>
            </w:r>
          </w:p>
          <w:p w:rsidR="00483556" w:rsidRPr="00963ED6" w:rsidRDefault="00483556" w:rsidP="001955FF">
            <w:pPr>
              <w:pStyle w:val="BodyText"/>
              <w:shd w:val="clear" w:color="auto" w:fill="FFFFFF"/>
              <w:autoSpaceDE w:val="0"/>
              <w:autoSpaceDN w:val="0"/>
              <w:adjustRightInd w:val="0"/>
              <w:ind w:left="357"/>
            </w:pPr>
            <w:r w:rsidRPr="00963ED6">
              <w:rPr>
                <w:b/>
              </w:rPr>
              <w:t>(15 punkti)</w:t>
            </w:r>
          </w:p>
          <w:p w:rsidR="00483556" w:rsidRPr="00963ED6" w:rsidRDefault="00483556" w:rsidP="00483556">
            <w:pPr>
              <w:numPr>
                <w:ilvl w:val="1"/>
                <w:numId w:val="16"/>
              </w:numPr>
              <w:ind w:left="924" w:hanging="357"/>
              <w:contextualSpacing/>
              <w:rPr>
                <w:rFonts w:ascii="Times New Roman" w:hAnsi="Times New Roman"/>
              </w:rPr>
            </w:pPr>
            <w:r w:rsidRPr="00963ED6">
              <w:rPr>
                <w:rFonts w:ascii="Times New Roman" w:hAnsi="Times New Roman"/>
              </w:rPr>
              <w:t>neatbilst vērtējamajam kritērijam, komisija piešķir 0 punktus;</w:t>
            </w:r>
          </w:p>
          <w:p w:rsidR="00483556" w:rsidRPr="00963ED6" w:rsidRDefault="00483556" w:rsidP="00483556">
            <w:pPr>
              <w:numPr>
                <w:ilvl w:val="1"/>
                <w:numId w:val="16"/>
              </w:numPr>
              <w:ind w:left="924" w:hanging="357"/>
              <w:contextualSpacing/>
              <w:rPr>
                <w:rFonts w:ascii="Times New Roman" w:hAnsi="Times New Roman"/>
              </w:rPr>
            </w:pPr>
            <w:r w:rsidRPr="00963ED6">
              <w:rPr>
                <w:rFonts w:ascii="Times New Roman" w:hAnsi="Times New Roman"/>
              </w:rPr>
              <w:t>daļēji atbilst vērtējamajam kritērijam, komisija piešķir 7 punktus;</w:t>
            </w:r>
          </w:p>
          <w:p w:rsidR="00483556" w:rsidRPr="00963ED6" w:rsidRDefault="00483556" w:rsidP="00483556">
            <w:pPr>
              <w:numPr>
                <w:ilvl w:val="1"/>
                <w:numId w:val="16"/>
              </w:numPr>
              <w:spacing w:after="200"/>
              <w:ind w:left="924" w:hanging="357"/>
              <w:contextualSpacing/>
              <w:rPr>
                <w:rFonts w:ascii="Times New Roman" w:hAnsi="Times New Roman"/>
              </w:rPr>
            </w:pPr>
            <w:r w:rsidRPr="00963ED6">
              <w:rPr>
                <w:rFonts w:ascii="Times New Roman" w:hAnsi="Times New Roman"/>
              </w:rPr>
              <w:t>pilnībā atbilst vērtējamajam kritērijam, komisija piešķir 15 punktus.</w:t>
            </w:r>
          </w:p>
          <w:p w:rsidR="00483556" w:rsidRDefault="00483556" w:rsidP="00483556">
            <w:pPr>
              <w:pStyle w:val="BodyText"/>
              <w:numPr>
                <w:ilvl w:val="0"/>
                <w:numId w:val="16"/>
              </w:numPr>
              <w:shd w:val="clear" w:color="auto" w:fill="FFFFFF"/>
              <w:autoSpaceDE w:val="0"/>
              <w:autoSpaceDN w:val="0"/>
              <w:adjustRightInd w:val="0"/>
              <w:ind w:left="357" w:hanging="357"/>
              <w:jc w:val="left"/>
            </w:pPr>
            <w:r>
              <w:t xml:space="preserve">Dizaina materiāls pielāgots mērķauditorijai </w:t>
            </w:r>
          </w:p>
          <w:p w:rsidR="00483556" w:rsidRDefault="00483556" w:rsidP="001955FF">
            <w:pPr>
              <w:pStyle w:val="BodyText"/>
              <w:shd w:val="clear" w:color="auto" w:fill="FFFFFF"/>
              <w:autoSpaceDE w:val="0"/>
              <w:autoSpaceDN w:val="0"/>
              <w:adjustRightInd w:val="0"/>
              <w:ind w:left="357"/>
            </w:pPr>
            <w:r w:rsidRPr="00963ED6">
              <w:rPr>
                <w:b/>
              </w:rPr>
              <w:t>(10 punkti)</w:t>
            </w:r>
          </w:p>
          <w:p w:rsidR="00483556" w:rsidRDefault="00483556" w:rsidP="00483556">
            <w:pPr>
              <w:pStyle w:val="BodyText"/>
              <w:numPr>
                <w:ilvl w:val="0"/>
                <w:numId w:val="16"/>
              </w:numPr>
              <w:shd w:val="clear" w:color="auto" w:fill="FFFFFF"/>
              <w:autoSpaceDE w:val="0"/>
              <w:autoSpaceDN w:val="0"/>
              <w:adjustRightInd w:val="0"/>
              <w:ind w:left="357" w:hanging="357"/>
              <w:jc w:val="left"/>
            </w:pPr>
            <w:r>
              <w:t>Kompozīcijas atbilstība vispārpieņemtajiem kanoniem (līnijas, laukums, punkts, krāsas (dominante, ritmi, kontrasti), forma, grafika, burtu fonts, ievērots līdzsvars (simetrija un asimetrija), proporcijas, elegance, vienkāršība).</w:t>
            </w:r>
            <w:r>
              <w:br/>
            </w:r>
            <w:r>
              <w:rPr>
                <w:b/>
              </w:rPr>
              <w:t>(10 punkti)</w:t>
            </w:r>
          </w:p>
          <w:p w:rsidR="00483556" w:rsidRPr="00963ED6" w:rsidRDefault="00483556" w:rsidP="00483556">
            <w:pPr>
              <w:numPr>
                <w:ilvl w:val="1"/>
                <w:numId w:val="16"/>
              </w:numPr>
              <w:ind w:left="924" w:hanging="357"/>
              <w:contextualSpacing/>
              <w:rPr>
                <w:rFonts w:ascii="Times New Roman" w:hAnsi="Times New Roman"/>
              </w:rPr>
            </w:pPr>
            <w:r w:rsidRPr="00963ED6">
              <w:rPr>
                <w:rFonts w:ascii="Times New Roman" w:hAnsi="Times New Roman"/>
              </w:rPr>
              <w:t>neatbilst vērtējamajam kritērijam, komisija piešķir 0 punktus;</w:t>
            </w:r>
          </w:p>
          <w:p w:rsidR="00483556" w:rsidRPr="00963ED6" w:rsidRDefault="00483556" w:rsidP="00483556">
            <w:pPr>
              <w:numPr>
                <w:ilvl w:val="1"/>
                <w:numId w:val="16"/>
              </w:numPr>
              <w:ind w:left="924" w:hanging="357"/>
              <w:contextualSpacing/>
              <w:rPr>
                <w:rFonts w:ascii="Times New Roman" w:hAnsi="Times New Roman"/>
              </w:rPr>
            </w:pPr>
            <w:r w:rsidRPr="00963ED6">
              <w:rPr>
                <w:rFonts w:ascii="Times New Roman" w:hAnsi="Times New Roman"/>
              </w:rPr>
              <w:t>daļēji atbilst vērtējamajam kritērijam, komisija piešķir 5 punktus;</w:t>
            </w:r>
          </w:p>
          <w:p w:rsidR="00483556" w:rsidRPr="00963ED6" w:rsidRDefault="00483556" w:rsidP="00483556">
            <w:pPr>
              <w:numPr>
                <w:ilvl w:val="1"/>
                <w:numId w:val="16"/>
              </w:numPr>
              <w:spacing w:after="200"/>
              <w:ind w:left="924" w:hanging="357"/>
              <w:contextualSpacing/>
              <w:rPr>
                <w:rFonts w:ascii="Times New Roman" w:hAnsi="Times New Roman"/>
              </w:rPr>
            </w:pPr>
            <w:r w:rsidRPr="00963ED6">
              <w:rPr>
                <w:rFonts w:ascii="Times New Roman" w:hAnsi="Times New Roman"/>
              </w:rPr>
              <w:t>pilnībā atbilst vērtējamajam kritērijam, komisija piešķir 10 punktus.</w:t>
            </w:r>
          </w:p>
          <w:p w:rsidR="00483556" w:rsidRDefault="00483556" w:rsidP="00483556">
            <w:pPr>
              <w:pStyle w:val="BodyText"/>
              <w:numPr>
                <w:ilvl w:val="0"/>
                <w:numId w:val="16"/>
              </w:numPr>
              <w:shd w:val="clear" w:color="auto" w:fill="FFFFFF"/>
              <w:autoSpaceDE w:val="0"/>
              <w:autoSpaceDN w:val="0"/>
              <w:adjustRightInd w:val="0"/>
              <w:spacing w:after="120"/>
              <w:ind w:left="357" w:hanging="357"/>
              <w:jc w:val="left"/>
            </w:pPr>
            <w:r>
              <w:t xml:space="preserve">Vismaz viens no </w:t>
            </w:r>
            <w:proofErr w:type="spellStart"/>
            <w:r>
              <w:t>portfolio</w:t>
            </w:r>
            <w:proofErr w:type="spellEnd"/>
            <w:r>
              <w:t xml:space="preserve"> norādītajiem vizuālajiem materiāliem publicēts plašsaziņas līdzekļos (žurnāli, laikraksti, interneta portāli vai TV).</w:t>
            </w:r>
            <w:r>
              <w:br/>
            </w:r>
            <w:r>
              <w:rPr>
                <w:b/>
              </w:rPr>
              <w:t>(15 punkti)</w:t>
            </w:r>
          </w:p>
        </w:tc>
      </w:tr>
      <w:tr w:rsidR="00483556" w:rsidTr="001955FF">
        <w:tc>
          <w:tcPr>
            <w:tcW w:w="642"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t>3.</w:t>
            </w:r>
          </w:p>
        </w:tc>
        <w:tc>
          <w:tcPr>
            <w:tcW w:w="1763"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rPr>
                <w:b/>
              </w:rPr>
            </w:pPr>
            <w:r>
              <w:rPr>
                <w:b/>
              </w:rPr>
              <w:t>Kopā (V)</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3556" w:rsidRDefault="00483556" w:rsidP="001955FF">
            <w:pPr>
              <w:pStyle w:val="BodyText"/>
              <w:jc w:val="center"/>
              <w:rPr>
                <w:b/>
              </w:rPr>
            </w:pPr>
            <w:r>
              <w:rPr>
                <w:b/>
              </w:rPr>
              <w:t>100</w:t>
            </w:r>
          </w:p>
        </w:tc>
        <w:tc>
          <w:tcPr>
            <w:tcW w:w="4884" w:type="dxa"/>
            <w:tcBorders>
              <w:top w:val="single" w:sz="4" w:space="0" w:color="auto"/>
              <w:left w:val="single" w:sz="4" w:space="0" w:color="auto"/>
              <w:bottom w:val="single" w:sz="4" w:space="0" w:color="auto"/>
              <w:right w:val="single" w:sz="4" w:space="0" w:color="auto"/>
            </w:tcBorders>
            <w:hideMark/>
          </w:tcPr>
          <w:p w:rsidR="00483556" w:rsidRDefault="00483556" w:rsidP="001955FF">
            <w:pPr>
              <w:pStyle w:val="BodyText"/>
            </w:pPr>
            <w:r>
              <w:t>V = C + Q</w:t>
            </w:r>
          </w:p>
        </w:tc>
      </w:tr>
    </w:tbl>
    <w:p w:rsidR="00B663C4" w:rsidRPr="00B663C4" w:rsidRDefault="00B663C4" w:rsidP="00B663C4">
      <w:pPr>
        <w:widowControl w:val="0"/>
        <w:overflowPunct w:val="0"/>
        <w:autoSpaceDE w:val="0"/>
        <w:autoSpaceDN w:val="0"/>
        <w:adjustRightInd w:val="0"/>
        <w:spacing w:before="240"/>
        <w:jc w:val="both"/>
        <w:rPr>
          <w:rFonts w:ascii="Times New Roman" w:hAnsi="Times New Roman"/>
        </w:rPr>
      </w:pPr>
      <w:r w:rsidRPr="00B663C4">
        <w:rPr>
          <w:rFonts w:ascii="Times New Roman" w:hAnsi="Times New Roman"/>
          <w:b/>
          <w:bCs/>
        </w:rPr>
        <w:t>Iesniegto paraugu vērtēšana:</w:t>
      </w:r>
      <w:r w:rsidRPr="00B663C4">
        <w:rPr>
          <w:rFonts w:ascii="Times New Roman" w:hAnsi="Times New Roman"/>
          <w:bCs/>
        </w:rPr>
        <w:t xml:space="preserve"> Iepirkuma komisija iesniegtos paraugus vērtē individuāli, vērtējumu atspoguļojot individuālās vērtēšanas tabulās. Paraugu vērtēšanai Iepirkuma komisija ir tiesīga pieaicināt ekspertus. Pamatojoties uz Iepirkuma komisijas locekļu individuālo vērtējumu, aprēķina vidējo komisijas locekļu vērtējumu par katru vērtēšanas kritēriju un kopējo iegūto punktu skaitu Q kritērijam.</w:t>
      </w:r>
    </w:p>
    <w:p w:rsidR="00CF20EA" w:rsidRDefault="00CF20EA" w:rsidP="00CF20EA">
      <w:pPr>
        <w:spacing w:line="276" w:lineRule="auto"/>
        <w:jc w:val="both"/>
        <w:rPr>
          <w:rFonts w:ascii="Times New Roman" w:eastAsia="Times New Roman" w:hAnsi="Times New Roman"/>
          <w:bCs/>
          <w:lang w:eastAsia="lv-LV"/>
        </w:rPr>
      </w:pPr>
    </w:p>
    <w:p w:rsidR="008F1BAE" w:rsidRPr="00334F94" w:rsidRDefault="003326E9" w:rsidP="00231806">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8"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B866B0" w:rsidRPr="00334F94">
        <w:rPr>
          <w:rFonts w:ascii="Times New Roman" w:eastAsia="Times New Roman" w:hAnsi="Times New Roman"/>
          <w:bCs/>
          <w:lang w:eastAsia="lv-LV"/>
        </w:rPr>
        <w:t>201</w:t>
      </w:r>
      <w:r w:rsidR="00C852E2" w:rsidRPr="00334F94">
        <w:rPr>
          <w:rFonts w:ascii="Times New Roman" w:eastAsia="Times New Roman" w:hAnsi="Times New Roman"/>
          <w:bCs/>
          <w:lang w:eastAsia="lv-LV"/>
        </w:rPr>
        <w:t>6</w:t>
      </w:r>
      <w:r w:rsidR="00EF0772" w:rsidRPr="00334F94">
        <w:rPr>
          <w:rFonts w:ascii="Times New Roman" w:eastAsia="Times New Roman" w:hAnsi="Times New Roman"/>
          <w:bCs/>
          <w:lang w:eastAsia="lv-LV"/>
        </w:rPr>
        <w:t xml:space="preserve">. gada </w:t>
      </w:r>
      <w:r w:rsidR="00A0729E">
        <w:rPr>
          <w:rFonts w:ascii="Times New Roman" w:eastAsia="Times New Roman" w:hAnsi="Times New Roman"/>
          <w:bCs/>
          <w:lang w:eastAsia="lv-LV"/>
        </w:rPr>
        <w:t>21.novembrī</w:t>
      </w:r>
    </w:p>
    <w:p w:rsidR="003326E9" w:rsidRPr="00334F94" w:rsidRDefault="003326E9"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501D73" w:rsidRPr="00334F94">
        <w:rPr>
          <w:rFonts w:ascii="Times New Roman" w:eastAsia="Times New Roman" w:hAnsi="Times New Roman"/>
          <w:b/>
          <w:bCs/>
          <w:lang w:eastAsia="lv-LV"/>
        </w:rPr>
        <w:t>6</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A0729E">
        <w:rPr>
          <w:rFonts w:ascii="Times New Roman" w:eastAsia="Times New Roman" w:hAnsi="Times New Roman"/>
          <w:b/>
          <w:bCs/>
          <w:lang w:eastAsia="lv-LV"/>
        </w:rPr>
        <w:t>2</w:t>
      </w:r>
      <w:r w:rsidR="00D851C5">
        <w:rPr>
          <w:rFonts w:ascii="Times New Roman" w:eastAsia="Times New Roman" w:hAnsi="Times New Roman"/>
          <w:b/>
          <w:bCs/>
          <w:lang w:eastAsia="lv-LV"/>
        </w:rPr>
        <w:t>.decembra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p w:rsidR="00D851C5" w:rsidRDefault="00D851C5" w:rsidP="007811DE">
      <w:pPr>
        <w:spacing w:line="276" w:lineRule="auto"/>
        <w:jc w:val="both"/>
        <w:rPr>
          <w:rFonts w:ascii="Times New Roman" w:eastAsia="Times New Roman" w:hAnsi="Times New Roman"/>
          <w:bCs/>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209"/>
        <w:gridCol w:w="1694"/>
        <w:gridCol w:w="2023"/>
        <w:gridCol w:w="2530"/>
      </w:tblGrid>
      <w:tr w:rsidR="0079244F" w:rsidRPr="00B854C1" w:rsidTr="00546BC3">
        <w:trPr>
          <w:trHeight w:val="325"/>
        </w:trPr>
        <w:tc>
          <w:tcPr>
            <w:tcW w:w="445" w:type="dxa"/>
            <w:tcBorders>
              <w:top w:val="single" w:sz="4" w:space="0" w:color="auto"/>
              <w:left w:val="single" w:sz="4" w:space="0" w:color="auto"/>
              <w:bottom w:val="single" w:sz="4" w:space="0" w:color="auto"/>
              <w:right w:val="single" w:sz="4" w:space="0" w:color="auto"/>
            </w:tcBorders>
            <w:hideMark/>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Nr. </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p.k.</w:t>
            </w:r>
          </w:p>
        </w:tc>
        <w:tc>
          <w:tcPr>
            <w:tcW w:w="2249" w:type="dxa"/>
            <w:tcBorders>
              <w:top w:val="single" w:sz="4" w:space="0" w:color="auto"/>
              <w:left w:val="single" w:sz="4" w:space="0" w:color="auto"/>
              <w:bottom w:val="single" w:sz="4" w:space="0" w:color="auto"/>
              <w:right w:val="single" w:sz="4" w:space="0" w:color="auto"/>
            </w:tcBorders>
            <w:hideMark/>
          </w:tcPr>
          <w:p w:rsidR="0079244F" w:rsidRPr="00B854C1" w:rsidRDefault="0079244F" w:rsidP="007811DE">
            <w:pPr>
              <w:pStyle w:val="BodyText"/>
              <w:spacing w:line="256" w:lineRule="auto"/>
              <w:jc w:val="center"/>
              <w:rPr>
                <w:b/>
                <w:szCs w:val="24"/>
              </w:rPr>
            </w:pPr>
            <w:r w:rsidRPr="00B854C1">
              <w:rPr>
                <w:b/>
                <w:szCs w:val="24"/>
              </w:rPr>
              <w:t xml:space="preserve">Pretendenti </w:t>
            </w:r>
          </w:p>
          <w:p w:rsidR="0079244F" w:rsidRPr="00B854C1" w:rsidRDefault="0079244F" w:rsidP="007811DE">
            <w:pPr>
              <w:pStyle w:val="BodyText"/>
              <w:spacing w:line="256" w:lineRule="auto"/>
              <w:jc w:val="center"/>
              <w:rPr>
                <w:b/>
                <w:szCs w:val="24"/>
              </w:rPr>
            </w:pPr>
            <w:r w:rsidRPr="00B854C1">
              <w:rPr>
                <w:b/>
                <w:szCs w:val="24"/>
              </w:rPr>
              <w:t>(nosaukums)</w:t>
            </w:r>
          </w:p>
        </w:tc>
        <w:tc>
          <w:tcPr>
            <w:tcW w:w="1701" w:type="dxa"/>
            <w:tcBorders>
              <w:top w:val="single" w:sz="4" w:space="0" w:color="auto"/>
              <w:left w:val="single" w:sz="4" w:space="0" w:color="auto"/>
              <w:bottom w:val="single" w:sz="4" w:space="0" w:color="auto"/>
              <w:right w:val="single" w:sz="4" w:space="0" w:color="auto"/>
            </w:tcBorders>
            <w:hideMark/>
          </w:tcPr>
          <w:p w:rsidR="0079244F" w:rsidRPr="00B854C1" w:rsidRDefault="0079244F" w:rsidP="007811DE">
            <w:pPr>
              <w:spacing w:line="256" w:lineRule="auto"/>
              <w:jc w:val="center"/>
              <w:outlineLvl w:val="0"/>
              <w:rPr>
                <w:rFonts w:ascii="Times New Roman" w:hAnsi="Times New Roman"/>
                <w:b/>
                <w:highlight w:val="yellow"/>
              </w:rPr>
            </w:pPr>
            <w:r w:rsidRPr="00B854C1">
              <w:rPr>
                <w:rFonts w:ascii="Times New Roman" w:hAnsi="Times New Roman"/>
                <w:b/>
              </w:rPr>
              <w:t>Piedāvājumu iesniegšanas laiks</w:t>
            </w:r>
          </w:p>
        </w:tc>
        <w:tc>
          <w:tcPr>
            <w:tcW w:w="2070"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Piedāvātā cena EUR bez PVN</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1.daļa</w:t>
            </w:r>
          </w:p>
        </w:tc>
        <w:tc>
          <w:tcPr>
            <w:tcW w:w="2607"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Piedāvātā cena EUR bez PVN</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2.daļa</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w:t>
            </w:r>
          </w:p>
        </w:tc>
        <w:tc>
          <w:tcPr>
            <w:tcW w:w="2249" w:type="dxa"/>
            <w:tcBorders>
              <w:top w:val="single" w:sz="4" w:space="0" w:color="auto"/>
              <w:left w:val="single" w:sz="4" w:space="0" w:color="auto"/>
              <w:bottom w:val="single" w:sz="4" w:space="0" w:color="auto"/>
              <w:right w:val="single" w:sz="4" w:space="0" w:color="auto"/>
            </w:tcBorders>
            <w:vAlign w:val="center"/>
            <w:hideMark/>
          </w:tcPr>
          <w:p w:rsidR="0079244F" w:rsidRPr="00B854C1" w:rsidRDefault="0079244F" w:rsidP="007811DE">
            <w:pPr>
              <w:pStyle w:val="BodyText"/>
              <w:spacing w:line="256" w:lineRule="auto"/>
              <w:jc w:val="center"/>
              <w:rPr>
                <w:b/>
                <w:szCs w:val="24"/>
              </w:rPr>
            </w:pPr>
            <w:r w:rsidRPr="00B854C1">
              <w:rPr>
                <w:b/>
                <w:szCs w:val="24"/>
              </w:rPr>
              <w:t>SIA “BMH”</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rPr>
            </w:pPr>
            <w:r w:rsidRPr="00B854C1">
              <w:rPr>
                <w:rFonts w:ascii="Times New Roman" w:hAnsi="Times New Roman"/>
                <w:b/>
              </w:rPr>
              <w:t>plkst.9:45</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40,00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370,00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w:t>
            </w:r>
          </w:p>
        </w:tc>
        <w:tc>
          <w:tcPr>
            <w:tcW w:w="2249" w:type="dxa"/>
            <w:tcBorders>
              <w:top w:val="single" w:sz="4" w:space="0" w:color="auto"/>
              <w:left w:val="single" w:sz="4" w:space="0" w:color="auto"/>
              <w:bottom w:val="single" w:sz="4" w:space="0" w:color="auto"/>
              <w:right w:val="single" w:sz="4" w:space="0" w:color="auto"/>
            </w:tcBorders>
            <w:vAlign w:val="center"/>
            <w:hideMark/>
          </w:tcPr>
          <w:p w:rsidR="0079244F" w:rsidRPr="00B854C1" w:rsidRDefault="0079244F" w:rsidP="007811DE">
            <w:pPr>
              <w:pStyle w:val="BodyText"/>
              <w:spacing w:line="256" w:lineRule="auto"/>
              <w:jc w:val="center"/>
              <w:rPr>
                <w:b/>
                <w:szCs w:val="24"/>
              </w:rPr>
            </w:pPr>
            <w:r w:rsidRPr="00B854C1">
              <w:rPr>
                <w:b/>
                <w:szCs w:val="24"/>
              </w:rPr>
              <w:t>SIA “CIMO”</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22.11.2016.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plkst.16:00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220,00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3.</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w:t>
            </w:r>
            <w:proofErr w:type="spellStart"/>
            <w:r w:rsidRPr="00B854C1">
              <w:rPr>
                <w:b/>
                <w:szCs w:val="24"/>
              </w:rPr>
              <w:t>Associates</w:t>
            </w:r>
            <w:proofErr w:type="spellEnd"/>
            <w:r w:rsidRPr="00B854C1">
              <w:rPr>
                <w:b/>
                <w:szCs w:val="24"/>
              </w:rPr>
              <w:t xml:space="preserve">, </w:t>
            </w:r>
            <w:proofErr w:type="spellStart"/>
            <w:r w:rsidRPr="00B854C1">
              <w:rPr>
                <w:b/>
                <w:szCs w:val="24"/>
              </w:rPr>
              <w:t>Partners</w:t>
            </w:r>
            <w:proofErr w:type="spellEnd"/>
            <w:r w:rsidRPr="00B854C1">
              <w:rPr>
                <w:b/>
                <w:szCs w:val="24"/>
              </w:rPr>
              <w:t xml:space="preserve"> </w:t>
            </w:r>
            <w:proofErr w:type="spellStart"/>
            <w:r w:rsidRPr="00B854C1">
              <w:rPr>
                <w:b/>
                <w:szCs w:val="24"/>
              </w:rPr>
              <w:t>et</w:t>
            </w:r>
            <w:proofErr w:type="spellEnd"/>
            <w:r w:rsidRPr="00B854C1">
              <w:rPr>
                <w:b/>
                <w:szCs w:val="24"/>
              </w:rPr>
              <w:t xml:space="preserve"> </w:t>
            </w:r>
            <w:proofErr w:type="spellStart"/>
            <w:r w:rsidRPr="00B854C1">
              <w:rPr>
                <w:b/>
                <w:szCs w:val="24"/>
              </w:rPr>
              <w:t>Sons</w:t>
            </w:r>
            <w:proofErr w:type="spellEnd"/>
            <w:r w:rsidRPr="00B854C1">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plkst.9:56</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17,50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610,00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4.</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“Base.lv”</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plkst.10:36</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725,00</w:t>
            </w:r>
          </w:p>
        </w:tc>
      </w:tr>
      <w:tr w:rsidR="004B4015" w:rsidRPr="00B854C1" w:rsidTr="00546BC3">
        <w:trPr>
          <w:trHeight w:val="567"/>
        </w:trPr>
        <w:tc>
          <w:tcPr>
            <w:tcW w:w="445" w:type="dxa"/>
            <w:tcBorders>
              <w:top w:val="single" w:sz="4" w:space="0" w:color="auto"/>
              <w:left w:val="single" w:sz="4" w:space="0" w:color="auto"/>
              <w:right w:val="single" w:sz="4" w:space="0" w:color="auto"/>
            </w:tcBorders>
          </w:tcPr>
          <w:p w:rsidR="004B4015" w:rsidRPr="00B854C1" w:rsidRDefault="004B4015" w:rsidP="007811DE">
            <w:pPr>
              <w:spacing w:line="256" w:lineRule="auto"/>
              <w:jc w:val="center"/>
              <w:outlineLvl w:val="0"/>
              <w:rPr>
                <w:rFonts w:ascii="Times New Roman" w:hAnsi="Times New Roman"/>
                <w:b/>
              </w:rPr>
            </w:pPr>
            <w:r w:rsidRPr="00B854C1">
              <w:rPr>
                <w:rFonts w:ascii="Times New Roman" w:hAnsi="Times New Roman"/>
                <w:b/>
              </w:rPr>
              <w:t>5.</w:t>
            </w:r>
          </w:p>
        </w:tc>
        <w:tc>
          <w:tcPr>
            <w:tcW w:w="2249" w:type="dxa"/>
            <w:tcBorders>
              <w:top w:val="single" w:sz="4" w:space="0" w:color="auto"/>
              <w:left w:val="single" w:sz="4" w:space="0" w:color="auto"/>
              <w:right w:val="single" w:sz="4" w:space="0" w:color="auto"/>
            </w:tcBorders>
            <w:vAlign w:val="center"/>
          </w:tcPr>
          <w:p w:rsidR="004B4015" w:rsidRPr="00B854C1" w:rsidRDefault="004B4015" w:rsidP="007811DE">
            <w:pPr>
              <w:pStyle w:val="BodyText"/>
              <w:spacing w:line="256" w:lineRule="auto"/>
              <w:jc w:val="center"/>
              <w:rPr>
                <w:b/>
                <w:szCs w:val="24"/>
              </w:rPr>
            </w:pPr>
            <w:r w:rsidRPr="00B854C1">
              <w:rPr>
                <w:b/>
                <w:szCs w:val="24"/>
              </w:rPr>
              <w:t>SIA “</w:t>
            </w:r>
            <w:proofErr w:type="spellStart"/>
            <w:r w:rsidRPr="00B854C1">
              <w:rPr>
                <w:b/>
                <w:szCs w:val="24"/>
              </w:rPr>
              <w:t>Qualita</w:t>
            </w:r>
            <w:proofErr w:type="spellEnd"/>
            <w:r w:rsidRPr="00B854C1">
              <w:rPr>
                <w:b/>
                <w:szCs w:val="24"/>
              </w:rPr>
              <w:t xml:space="preserve"> </w:t>
            </w:r>
            <w:proofErr w:type="spellStart"/>
            <w:r w:rsidRPr="00B854C1">
              <w:rPr>
                <w:b/>
                <w:szCs w:val="24"/>
              </w:rPr>
              <w:t>Centrale</w:t>
            </w:r>
            <w:proofErr w:type="spellEnd"/>
            <w:r w:rsidRPr="00B854C1">
              <w:rPr>
                <w:b/>
                <w:szCs w:val="24"/>
              </w:rPr>
              <w:t>”</w:t>
            </w:r>
          </w:p>
        </w:tc>
        <w:tc>
          <w:tcPr>
            <w:tcW w:w="1701" w:type="dxa"/>
            <w:tcBorders>
              <w:top w:val="single" w:sz="4" w:space="0" w:color="auto"/>
              <w:left w:val="single" w:sz="4" w:space="0" w:color="auto"/>
              <w:right w:val="single" w:sz="4" w:space="0" w:color="auto"/>
            </w:tcBorders>
            <w:vAlign w:val="center"/>
          </w:tcPr>
          <w:p w:rsidR="004B4015" w:rsidRPr="00B854C1" w:rsidRDefault="004B4015" w:rsidP="007811DE">
            <w:pPr>
              <w:spacing w:line="256" w:lineRule="auto"/>
              <w:jc w:val="center"/>
              <w:outlineLvl w:val="0"/>
              <w:rPr>
                <w:rFonts w:ascii="Times New Roman" w:hAnsi="Times New Roman"/>
                <w:b/>
              </w:rPr>
            </w:pPr>
            <w:r w:rsidRPr="00B854C1">
              <w:rPr>
                <w:rFonts w:ascii="Times New Roman" w:hAnsi="Times New Roman"/>
                <w:b/>
              </w:rPr>
              <w:t>02.12.2016.</w:t>
            </w:r>
          </w:p>
          <w:p w:rsidR="004B4015" w:rsidRPr="00B854C1" w:rsidRDefault="004B4015" w:rsidP="007811DE">
            <w:pPr>
              <w:spacing w:line="256" w:lineRule="auto"/>
              <w:jc w:val="center"/>
              <w:outlineLvl w:val="0"/>
              <w:rPr>
                <w:rFonts w:ascii="Times New Roman" w:hAnsi="Times New Roman"/>
                <w:b/>
              </w:rPr>
            </w:pPr>
            <w:r w:rsidRPr="00B854C1">
              <w:rPr>
                <w:rFonts w:ascii="Times New Roman" w:hAnsi="Times New Roman"/>
                <w:b/>
              </w:rPr>
              <w:t>plkst.10:50</w:t>
            </w:r>
          </w:p>
        </w:tc>
        <w:tc>
          <w:tcPr>
            <w:tcW w:w="2070" w:type="dxa"/>
            <w:tcBorders>
              <w:top w:val="single" w:sz="4" w:space="0" w:color="auto"/>
              <w:left w:val="single" w:sz="4" w:space="0" w:color="auto"/>
              <w:right w:val="single" w:sz="4" w:space="0" w:color="auto"/>
            </w:tcBorders>
            <w:vAlign w:val="center"/>
          </w:tcPr>
          <w:p w:rsidR="004B4015" w:rsidRPr="00B854C1" w:rsidRDefault="004B4015" w:rsidP="007811DE">
            <w:pPr>
              <w:spacing w:line="256" w:lineRule="auto"/>
              <w:jc w:val="center"/>
              <w:outlineLvl w:val="0"/>
              <w:rPr>
                <w:rFonts w:ascii="Times New Roman" w:hAnsi="Times New Roman"/>
                <w:b/>
              </w:rPr>
            </w:pPr>
            <w:r w:rsidRPr="00B854C1">
              <w:rPr>
                <w:rFonts w:ascii="Times New Roman" w:hAnsi="Times New Roman"/>
                <w:b/>
              </w:rPr>
              <w:t>–</w:t>
            </w:r>
          </w:p>
        </w:tc>
        <w:tc>
          <w:tcPr>
            <w:tcW w:w="2607" w:type="dxa"/>
            <w:tcBorders>
              <w:top w:val="single" w:sz="4" w:space="0" w:color="auto"/>
              <w:left w:val="single" w:sz="4" w:space="0" w:color="auto"/>
              <w:right w:val="single" w:sz="4" w:space="0" w:color="auto"/>
            </w:tcBorders>
            <w:vAlign w:val="center"/>
          </w:tcPr>
          <w:p w:rsidR="004B4015" w:rsidRPr="00B854C1" w:rsidRDefault="004B4015" w:rsidP="007811DE">
            <w:pPr>
              <w:spacing w:line="256" w:lineRule="auto"/>
              <w:jc w:val="center"/>
              <w:outlineLvl w:val="0"/>
              <w:rPr>
                <w:rFonts w:ascii="Times New Roman" w:hAnsi="Times New Roman"/>
                <w:b/>
              </w:rPr>
            </w:pPr>
            <w:r w:rsidRPr="00B854C1">
              <w:rPr>
                <w:rFonts w:ascii="Times New Roman" w:hAnsi="Times New Roman"/>
                <w:b/>
              </w:rPr>
              <w:t>519,00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6.</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“DUE”</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plkst.10:30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30,00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690,00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 xml:space="preserve">SIA “ESM </w:t>
            </w:r>
            <w:proofErr w:type="spellStart"/>
            <w:r w:rsidRPr="00B854C1">
              <w:rPr>
                <w:b/>
                <w:szCs w:val="24"/>
              </w:rPr>
              <w:t>Group</w:t>
            </w:r>
            <w:proofErr w:type="spellEnd"/>
            <w:r w:rsidRPr="00B854C1">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plkst.10:16</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440,00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8.</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“E FORMA”</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plkst.9:50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755,00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9.</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“KI POINT”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plkst.10:57</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9,00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259,50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10.</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w:t>
            </w:r>
            <w:proofErr w:type="spellStart"/>
            <w:r w:rsidRPr="00B854C1">
              <w:rPr>
                <w:b/>
                <w:szCs w:val="24"/>
              </w:rPr>
              <w:t>Triple</w:t>
            </w:r>
            <w:proofErr w:type="spellEnd"/>
            <w:r w:rsidRPr="00B854C1">
              <w:rPr>
                <w:b/>
                <w:szCs w:val="24"/>
              </w:rPr>
              <w:t xml:space="preserve"> </w:t>
            </w:r>
            <w:proofErr w:type="spellStart"/>
            <w:r w:rsidRPr="00B854C1">
              <w:rPr>
                <w:b/>
                <w:szCs w:val="24"/>
              </w:rPr>
              <w:t>Bounce</w:t>
            </w:r>
            <w:proofErr w:type="spellEnd"/>
            <w:r w:rsidRPr="00B854C1">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plkst.10:58</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1290,00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11.</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w:t>
            </w:r>
            <w:proofErr w:type="spellStart"/>
            <w:r w:rsidRPr="00B854C1">
              <w:rPr>
                <w:b/>
                <w:szCs w:val="24"/>
              </w:rPr>
              <w:t>Bright</w:t>
            </w:r>
            <w:proofErr w:type="spellEnd"/>
            <w:r w:rsidRPr="00B854C1">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01.12.2016.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plkst.16:00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25,00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591,00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12.</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“OZOLS IR”</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plkst.8:50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20,00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770,00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13.</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“Prīmuss Marketings”</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plkst.9:10</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40,00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795,00</w:t>
            </w:r>
          </w:p>
        </w:tc>
      </w:tr>
      <w:tr w:rsidR="0079244F" w:rsidRPr="00B854C1" w:rsidTr="00546BC3">
        <w:trPr>
          <w:trHeight w:val="567"/>
        </w:trPr>
        <w:tc>
          <w:tcPr>
            <w:tcW w:w="445" w:type="dxa"/>
            <w:tcBorders>
              <w:top w:val="single" w:sz="4" w:space="0" w:color="auto"/>
              <w:left w:val="single" w:sz="4" w:space="0" w:color="auto"/>
              <w:bottom w:val="single" w:sz="4" w:space="0" w:color="auto"/>
              <w:right w:val="single" w:sz="4" w:space="0" w:color="auto"/>
            </w:tcBorders>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14.</w:t>
            </w:r>
          </w:p>
        </w:tc>
        <w:tc>
          <w:tcPr>
            <w:tcW w:w="2249"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pStyle w:val="BodyText"/>
              <w:spacing w:line="256" w:lineRule="auto"/>
              <w:jc w:val="center"/>
              <w:rPr>
                <w:b/>
                <w:szCs w:val="24"/>
              </w:rPr>
            </w:pPr>
            <w:r w:rsidRPr="00B854C1">
              <w:rPr>
                <w:b/>
                <w:szCs w:val="24"/>
              </w:rPr>
              <w:t>SIA “</w:t>
            </w:r>
            <w:proofErr w:type="spellStart"/>
            <w:r w:rsidRPr="00B854C1">
              <w:rPr>
                <w:b/>
                <w:szCs w:val="24"/>
              </w:rPr>
              <w:t>Digibrand</w:t>
            </w:r>
            <w:proofErr w:type="spellEnd"/>
            <w:r w:rsidRPr="00B854C1">
              <w:rPr>
                <w:b/>
                <w:szCs w:val="24"/>
              </w:rPr>
              <w:t xml:space="preserve"> </w:t>
            </w:r>
            <w:proofErr w:type="spellStart"/>
            <w:r w:rsidRPr="00B854C1">
              <w:rPr>
                <w:b/>
                <w:szCs w:val="24"/>
              </w:rPr>
              <w:t>solutions</w:t>
            </w:r>
            <w:proofErr w:type="spellEnd"/>
            <w:r w:rsidRPr="00B854C1">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02.12.2016.</w:t>
            </w:r>
          </w:p>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plkst.10:25</w:t>
            </w:r>
          </w:p>
        </w:tc>
        <w:tc>
          <w:tcPr>
            <w:tcW w:w="2070"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15,00</w:t>
            </w:r>
          </w:p>
        </w:tc>
        <w:tc>
          <w:tcPr>
            <w:tcW w:w="2607" w:type="dxa"/>
            <w:tcBorders>
              <w:top w:val="single" w:sz="4" w:space="0" w:color="auto"/>
              <w:left w:val="single" w:sz="4" w:space="0" w:color="auto"/>
              <w:bottom w:val="single" w:sz="4" w:space="0" w:color="auto"/>
              <w:right w:val="single" w:sz="4" w:space="0" w:color="auto"/>
            </w:tcBorders>
            <w:vAlign w:val="center"/>
          </w:tcPr>
          <w:p w:rsidR="0079244F" w:rsidRPr="00B854C1" w:rsidRDefault="0079244F" w:rsidP="007811DE">
            <w:pPr>
              <w:spacing w:line="256" w:lineRule="auto"/>
              <w:jc w:val="center"/>
              <w:outlineLvl w:val="0"/>
              <w:rPr>
                <w:rFonts w:ascii="Times New Roman" w:hAnsi="Times New Roman"/>
                <w:b/>
              </w:rPr>
            </w:pPr>
            <w:r w:rsidRPr="00B854C1">
              <w:rPr>
                <w:rFonts w:ascii="Times New Roman" w:hAnsi="Times New Roman"/>
                <w:b/>
              </w:rPr>
              <w:t>393,00</w:t>
            </w:r>
          </w:p>
        </w:tc>
      </w:tr>
    </w:tbl>
    <w:p w:rsidR="00333CD8" w:rsidRPr="00333CD8" w:rsidRDefault="00333CD8" w:rsidP="00333CD8">
      <w:pPr>
        <w:pStyle w:val="ListParagraph"/>
        <w:spacing w:line="276" w:lineRule="auto"/>
        <w:ind w:left="357"/>
        <w:jc w:val="both"/>
        <w:rPr>
          <w:rFonts w:ascii="Times New Roman" w:eastAsia="Times New Roman" w:hAnsi="Times New Roman"/>
          <w:bCs/>
          <w:lang w:eastAsia="lv-LV"/>
        </w:rPr>
      </w:pPr>
    </w:p>
    <w:p w:rsidR="00501D73" w:rsidRPr="0024086A" w:rsidRDefault="002466F7" w:rsidP="00333CD8">
      <w:pPr>
        <w:pStyle w:val="ListParagraph"/>
        <w:numPr>
          <w:ilvl w:val="0"/>
          <w:numId w:val="3"/>
        </w:numPr>
        <w:spacing w:line="276" w:lineRule="auto"/>
        <w:ind w:left="357" w:hanging="357"/>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p w:rsidR="0024086A" w:rsidRPr="0024086A" w:rsidRDefault="0024086A" w:rsidP="00C926F0">
      <w:pPr>
        <w:spacing w:before="120"/>
        <w:jc w:val="both"/>
        <w:rPr>
          <w:rFonts w:ascii="Times New Roman" w:eastAsia="Times New Roman" w:hAnsi="Times New Roman"/>
          <w:b/>
          <w:bCs/>
          <w:lang w:eastAsia="lv-LV"/>
        </w:rPr>
      </w:pPr>
      <w:r w:rsidRPr="0024086A">
        <w:rPr>
          <w:rFonts w:ascii="Times New Roman" w:eastAsia="Times New Roman" w:hAnsi="Times New Roman"/>
          <w:b/>
          <w:bCs/>
          <w:lang w:eastAsia="lv-LV"/>
        </w:rPr>
        <w:t>1.daļa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80"/>
        <w:gridCol w:w="4252"/>
      </w:tblGrid>
      <w:tr w:rsidR="0065607C" w:rsidRPr="00546BC3" w:rsidTr="00F50E8E">
        <w:trPr>
          <w:trHeight w:val="319"/>
        </w:trPr>
        <w:tc>
          <w:tcPr>
            <w:tcW w:w="977" w:type="dxa"/>
            <w:tcBorders>
              <w:top w:val="single" w:sz="4" w:space="0" w:color="auto"/>
              <w:left w:val="single" w:sz="4" w:space="0" w:color="auto"/>
              <w:bottom w:val="single" w:sz="4" w:space="0" w:color="auto"/>
              <w:right w:val="single" w:sz="4" w:space="0" w:color="auto"/>
            </w:tcBorders>
            <w:hideMark/>
          </w:tcPr>
          <w:p w:rsidR="0065607C" w:rsidRPr="00546BC3" w:rsidRDefault="0065607C" w:rsidP="001A08EC">
            <w:pPr>
              <w:spacing w:line="256" w:lineRule="auto"/>
              <w:jc w:val="center"/>
              <w:outlineLvl w:val="0"/>
              <w:rPr>
                <w:rFonts w:ascii="Times New Roman" w:hAnsi="Times New Roman"/>
                <w:b/>
              </w:rPr>
            </w:pPr>
            <w:r w:rsidRPr="00546BC3">
              <w:rPr>
                <w:rFonts w:ascii="Times New Roman" w:hAnsi="Times New Roman"/>
                <w:b/>
              </w:rPr>
              <w:t>Nr. </w:t>
            </w:r>
          </w:p>
          <w:p w:rsidR="0065607C" w:rsidRPr="00546BC3" w:rsidRDefault="0065607C" w:rsidP="001A08EC">
            <w:pPr>
              <w:spacing w:line="256" w:lineRule="auto"/>
              <w:jc w:val="center"/>
              <w:outlineLvl w:val="0"/>
              <w:rPr>
                <w:rFonts w:ascii="Times New Roman" w:hAnsi="Times New Roman"/>
                <w:b/>
              </w:rPr>
            </w:pPr>
            <w:r w:rsidRPr="00546BC3">
              <w:rPr>
                <w:rFonts w:ascii="Times New Roman" w:hAnsi="Times New Roman"/>
                <w:b/>
              </w:rPr>
              <w:t>p.k.</w:t>
            </w:r>
          </w:p>
        </w:tc>
        <w:tc>
          <w:tcPr>
            <w:tcW w:w="3980" w:type="dxa"/>
            <w:tcBorders>
              <w:top w:val="single" w:sz="4" w:space="0" w:color="auto"/>
              <w:left w:val="single" w:sz="4" w:space="0" w:color="auto"/>
              <w:bottom w:val="single" w:sz="4" w:space="0" w:color="auto"/>
              <w:right w:val="single" w:sz="4" w:space="0" w:color="auto"/>
            </w:tcBorders>
            <w:vAlign w:val="center"/>
            <w:hideMark/>
          </w:tcPr>
          <w:p w:rsidR="0065607C" w:rsidRPr="00546BC3" w:rsidRDefault="0065607C" w:rsidP="001A08EC">
            <w:pPr>
              <w:pStyle w:val="BodyText"/>
              <w:spacing w:line="256" w:lineRule="auto"/>
              <w:jc w:val="center"/>
              <w:rPr>
                <w:b/>
                <w:szCs w:val="24"/>
              </w:rPr>
            </w:pPr>
            <w:r w:rsidRPr="00546BC3">
              <w:rPr>
                <w:b/>
                <w:szCs w:val="24"/>
              </w:rPr>
              <w:t xml:space="preserve">Pretendenti </w:t>
            </w:r>
          </w:p>
          <w:p w:rsidR="0065607C" w:rsidRPr="00546BC3" w:rsidRDefault="0065607C" w:rsidP="001A08EC">
            <w:pPr>
              <w:pStyle w:val="BodyText"/>
              <w:spacing w:line="256" w:lineRule="auto"/>
              <w:jc w:val="center"/>
              <w:rPr>
                <w:b/>
                <w:szCs w:val="24"/>
              </w:rPr>
            </w:pPr>
            <w:r w:rsidRPr="00546BC3">
              <w:rPr>
                <w:b/>
                <w:szCs w:val="24"/>
              </w:rPr>
              <w:t>(nosaukums)</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F50E8E" w:rsidP="001A08EC">
            <w:pPr>
              <w:spacing w:line="256" w:lineRule="auto"/>
              <w:jc w:val="center"/>
              <w:outlineLvl w:val="0"/>
              <w:rPr>
                <w:rFonts w:ascii="Times New Roman" w:hAnsi="Times New Roman"/>
                <w:b/>
                <w:u w:val="single"/>
              </w:rPr>
            </w:pPr>
            <w:r w:rsidRPr="00546BC3">
              <w:rPr>
                <w:rFonts w:ascii="Times New Roman" w:hAnsi="Times New Roman"/>
                <w:b/>
                <w:u w:val="single"/>
              </w:rPr>
              <w:t>atbilst vai neatbilst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65607C" w:rsidP="001A08EC">
            <w:pPr>
              <w:spacing w:line="256" w:lineRule="auto"/>
              <w:jc w:val="center"/>
              <w:outlineLvl w:val="0"/>
              <w:rPr>
                <w:rFonts w:ascii="Times New Roman" w:hAnsi="Times New Roman"/>
                <w:b/>
              </w:rPr>
            </w:pPr>
            <w:r w:rsidRPr="00546BC3">
              <w:rPr>
                <w:rFonts w:ascii="Times New Roman" w:hAnsi="Times New Roman"/>
                <w:b/>
              </w:rPr>
              <w:t>1.</w:t>
            </w:r>
          </w:p>
        </w:tc>
        <w:tc>
          <w:tcPr>
            <w:tcW w:w="3980" w:type="dxa"/>
            <w:tcBorders>
              <w:top w:val="single" w:sz="4" w:space="0" w:color="auto"/>
              <w:left w:val="single" w:sz="4" w:space="0" w:color="auto"/>
              <w:bottom w:val="single" w:sz="4" w:space="0" w:color="auto"/>
              <w:right w:val="single" w:sz="4" w:space="0" w:color="auto"/>
            </w:tcBorders>
            <w:vAlign w:val="center"/>
            <w:hideMark/>
          </w:tcPr>
          <w:p w:rsidR="0065607C" w:rsidRPr="00546BC3" w:rsidRDefault="0065607C" w:rsidP="001A08EC">
            <w:pPr>
              <w:pStyle w:val="BodyText"/>
              <w:spacing w:line="256" w:lineRule="auto"/>
              <w:jc w:val="center"/>
              <w:rPr>
                <w:b/>
                <w:szCs w:val="24"/>
              </w:rPr>
            </w:pPr>
            <w:r w:rsidRPr="00546BC3">
              <w:rPr>
                <w:b/>
                <w:szCs w:val="24"/>
              </w:rPr>
              <w:t>SIA “BMH”</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1A08EC">
            <w:pPr>
              <w:spacing w:line="256" w:lineRule="auto"/>
              <w:jc w:val="center"/>
              <w:outlineLvl w:val="0"/>
              <w:rPr>
                <w:rFonts w:ascii="Times New Roman" w:hAnsi="Times New Roman"/>
                <w:b/>
              </w:rPr>
            </w:pPr>
            <w:r w:rsidRPr="00546BC3">
              <w:rPr>
                <w:rFonts w:ascii="Times New Roman" w:hAnsi="Times New Roman"/>
                <w:b/>
              </w:rPr>
              <w:t>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65607C" w:rsidP="001A08EC">
            <w:pPr>
              <w:spacing w:line="256" w:lineRule="auto"/>
              <w:jc w:val="center"/>
              <w:outlineLvl w:val="0"/>
              <w:rPr>
                <w:rFonts w:ascii="Times New Roman" w:hAnsi="Times New Roman"/>
                <w:b/>
              </w:rPr>
            </w:pPr>
            <w:r w:rsidRPr="00546BC3">
              <w:rPr>
                <w:rFonts w:ascii="Times New Roman" w:hAnsi="Times New Roman"/>
                <w:b/>
              </w:rPr>
              <w:t>2.</w:t>
            </w:r>
          </w:p>
        </w:tc>
        <w:tc>
          <w:tcPr>
            <w:tcW w:w="3980" w:type="dxa"/>
            <w:tcBorders>
              <w:top w:val="single" w:sz="4" w:space="0" w:color="auto"/>
              <w:left w:val="single" w:sz="4" w:space="0" w:color="auto"/>
              <w:bottom w:val="single" w:sz="4" w:space="0" w:color="auto"/>
              <w:right w:val="single" w:sz="4" w:space="0" w:color="auto"/>
            </w:tcBorders>
            <w:vAlign w:val="center"/>
            <w:hideMark/>
          </w:tcPr>
          <w:p w:rsidR="0065607C" w:rsidRPr="00546BC3" w:rsidRDefault="0065607C" w:rsidP="001A08EC">
            <w:pPr>
              <w:pStyle w:val="BodyText"/>
              <w:spacing w:line="256" w:lineRule="auto"/>
              <w:jc w:val="center"/>
              <w:rPr>
                <w:b/>
                <w:szCs w:val="24"/>
              </w:rPr>
            </w:pPr>
            <w:r w:rsidRPr="00546BC3">
              <w:rPr>
                <w:b/>
                <w:szCs w:val="24"/>
              </w:rPr>
              <w:t>SIA “CIMO”</w:t>
            </w:r>
          </w:p>
        </w:tc>
        <w:tc>
          <w:tcPr>
            <w:tcW w:w="4252" w:type="dxa"/>
            <w:tcBorders>
              <w:top w:val="single" w:sz="4" w:space="0" w:color="auto"/>
              <w:left w:val="single" w:sz="4" w:space="0" w:color="auto"/>
              <w:bottom w:val="single" w:sz="4" w:space="0" w:color="auto"/>
              <w:right w:val="single" w:sz="4" w:space="0" w:color="auto"/>
            </w:tcBorders>
            <w:vAlign w:val="center"/>
          </w:tcPr>
          <w:p w:rsidR="002229E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792E98"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792E98"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3.</w:t>
            </w:r>
          </w:p>
        </w:tc>
        <w:tc>
          <w:tcPr>
            <w:tcW w:w="3980" w:type="dxa"/>
            <w:tcBorders>
              <w:top w:val="single" w:sz="4" w:space="0" w:color="auto"/>
              <w:left w:val="single" w:sz="4" w:space="0" w:color="auto"/>
              <w:bottom w:val="single" w:sz="4" w:space="0" w:color="auto"/>
              <w:right w:val="single" w:sz="4" w:space="0" w:color="auto"/>
            </w:tcBorders>
            <w:vAlign w:val="center"/>
          </w:tcPr>
          <w:p w:rsidR="00792E98" w:rsidRPr="00546BC3" w:rsidRDefault="00792E98" w:rsidP="001A08EC">
            <w:pPr>
              <w:pStyle w:val="BodyText"/>
              <w:spacing w:line="256" w:lineRule="auto"/>
              <w:jc w:val="center"/>
              <w:rPr>
                <w:b/>
                <w:szCs w:val="24"/>
              </w:rPr>
            </w:pPr>
            <w:r w:rsidRPr="00546BC3">
              <w:rPr>
                <w:b/>
                <w:szCs w:val="24"/>
              </w:rPr>
              <w:t>SIA “Base.lv”</w:t>
            </w:r>
          </w:p>
        </w:tc>
        <w:tc>
          <w:tcPr>
            <w:tcW w:w="4252" w:type="dxa"/>
            <w:tcBorders>
              <w:top w:val="single" w:sz="4" w:space="0" w:color="auto"/>
              <w:left w:val="single" w:sz="4" w:space="0" w:color="auto"/>
              <w:bottom w:val="single" w:sz="4" w:space="0" w:color="auto"/>
              <w:right w:val="single" w:sz="4" w:space="0" w:color="auto"/>
            </w:tcBorders>
            <w:vAlign w:val="center"/>
          </w:tcPr>
          <w:p w:rsidR="00792E98" w:rsidRPr="00546BC3" w:rsidRDefault="00792E98" w:rsidP="002229EC">
            <w:pPr>
              <w:spacing w:line="256" w:lineRule="auto"/>
              <w:jc w:val="center"/>
              <w:outlineLvl w:val="0"/>
              <w:rPr>
                <w:rFonts w:ascii="Times New Roman" w:hAnsi="Times New Roman"/>
                <w:b/>
              </w:rPr>
            </w:pPr>
            <w:r w:rsidRPr="00546BC3">
              <w:rPr>
                <w:rFonts w:ascii="Times New Roman" w:hAnsi="Times New Roman"/>
                <w:b/>
              </w:rPr>
              <w:t>Neatbilst</w:t>
            </w:r>
          </w:p>
        </w:tc>
      </w:tr>
      <w:tr w:rsidR="0009367D"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09367D"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4</w:t>
            </w:r>
            <w:r w:rsidR="0009367D"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09367D" w:rsidRPr="00546BC3" w:rsidRDefault="0009367D" w:rsidP="001A08EC">
            <w:pPr>
              <w:pStyle w:val="BodyText"/>
              <w:spacing w:line="256" w:lineRule="auto"/>
              <w:jc w:val="center"/>
              <w:rPr>
                <w:b/>
                <w:szCs w:val="24"/>
              </w:rPr>
            </w:pPr>
            <w:r w:rsidRPr="00546BC3">
              <w:rPr>
                <w:b/>
                <w:szCs w:val="24"/>
              </w:rPr>
              <w:t>SIA “DUE”</w:t>
            </w:r>
          </w:p>
        </w:tc>
        <w:tc>
          <w:tcPr>
            <w:tcW w:w="4252" w:type="dxa"/>
            <w:tcBorders>
              <w:top w:val="single" w:sz="4" w:space="0" w:color="auto"/>
              <w:left w:val="single" w:sz="4" w:space="0" w:color="auto"/>
              <w:bottom w:val="single" w:sz="4" w:space="0" w:color="auto"/>
              <w:right w:val="single" w:sz="4" w:space="0" w:color="auto"/>
            </w:tcBorders>
            <w:vAlign w:val="center"/>
          </w:tcPr>
          <w:p w:rsidR="0009367D" w:rsidRPr="00546BC3" w:rsidRDefault="0009367D" w:rsidP="002229EC">
            <w:pPr>
              <w:spacing w:line="256" w:lineRule="auto"/>
              <w:jc w:val="center"/>
              <w:outlineLvl w:val="0"/>
              <w:rPr>
                <w:rFonts w:ascii="Times New Roman" w:hAnsi="Times New Roman"/>
                <w:b/>
              </w:rPr>
            </w:pPr>
            <w:r w:rsidRPr="00546BC3">
              <w:rPr>
                <w:rFonts w:ascii="Times New Roman" w:hAnsi="Times New Roman"/>
                <w:b/>
              </w:rPr>
              <w:t>Neatbilst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5</w:t>
            </w:r>
            <w:r w:rsidR="0065607C"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65607C" w:rsidRPr="00546BC3" w:rsidRDefault="0065607C" w:rsidP="001A08EC">
            <w:pPr>
              <w:pStyle w:val="BodyText"/>
              <w:spacing w:line="256" w:lineRule="auto"/>
              <w:jc w:val="center"/>
              <w:rPr>
                <w:b/>
                <w:szCs w:val="24"/>
              </w:rPr>
            </w:pPr>
            <w:r w:rsidRPr="00546BC3">
              <w:rPr>
                <w:b/>
                <w:szCs w:val="24"/>
              </w:rPr>
              <w:t>SIA “</w:t>
            </w:r>
            <w:proofErr w:type="spellStart"/>
            <w:r w:rsidRPr="00546BC3">
              <w:rPr>
                <w:b/>
                <w:szCs w:val="24"/>
              </w:rPr>
              <w:t>Associates</w:t>
            </w:r>
            <w:proofErr w:type="spellEnd"/>
            <w:r w:rsidRPr="00546BC3">
              <w:rPr>
                <w:b/>
                <w:szCs w:val="24"/>
              </w:rPr>
              <w:t xml:space="preserve">, </w:t>
            </w:r>
            <w:proofErr w:type="spellStart"/>
            <w:r w:rsidRPr="00546BC3">
              <w:rPr>
                <w:b/>
                <w:szCs w:val="24"/>
              </w:rPr>
              <w:t>Partners</w:t>
            </w:r>
            <w:proofErr w:type="spellEnd"/>
            <w:r w:rsidRPr="00546BC3">
              <w:rPr>
                <w:b/>
                <w:szCs w:val="24"/>
              </w:rPr>
              <w:t xml:space="preserve"> </w:t>
            </w:r>
            <w:proofErr w:type="spellStart"/>
            <w:r w:rsidRPr="00546BC3">
              <w:rPr>
                <w:b/>
                <w:szCs w:val="24"/>
              </w:rPr>
              <w:t>et</w:t>
            </w:r>
            <w:proofErr w:type="spellEnd"/>
            <w:r w:rsidRPr="00546BC3">
              <w:rPr>
                <w:b/>
                <w:szCs w:val="24"/>
              </w:rPr>
              <w:t xml:space="preserve"> </w:t>
            </w:r>
            <w:proofErr w:type="spellStart"/>
            <w:r w:rsidRPr="00546BC3">
              <w:rPr>
                <w:b/>
                <w:szCs w:val="24"/>
              </w:rPr>
              <w:t>Sons</w:t>
            </w:r>
            <w:proofErr w:type="spellEnd"/>
            <w:r w:rsidRPr="00546BC3">
              <w:rPr>
                <w:b/>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6</w:t>
            </w:r>
            <w:r w:rsidR="0065607C"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65607C" w:rsidRPr="00546BC3" w:rsidRDefault="0065607C" w:rsidP="001A08EC">
            <w:pPr>
              <w:pStyle w:val="BodyText"/>
              <w:spacing w:line="256" w:lineRule="auto"/>
              <w:jc w:val="center"/>
              <w:rPr>
                <w:b/>
                <w:szCs w:val="24"/>
              </w:rPr>
            </w:pPr>
            <w:r w:rsidRPr="00546BC3">
              <w:rPr>
                <w:b/>
                <w:szCs w:val="24"/>
              </w:rPr>
              <w:t xml:space="preserve">SIA “ESM </w:t>
            </w:r>
            <w:proofErr w:type="spellStart"/>
            <w:r w:rsidRPr="00546BC3">
              <w:rPr>
                <w:b/>
                <w:szCs w:val="24"/>
              </w:rPr>
              <w:t>Group</w:t>
            </w:r>
            <w:proofErr w:type="spellEnd"/>
            <w:r w:rsidRPr="00546BC3">
              <w:rPr>
                <w:b/>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0F2AE0"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0F2AE0"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7</w:t>
            </w:r>
            <w:r w:rsidR="000B3125"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0F2AE0" w:rsidRPr="00546BC3" w:rsidRDefault="000F2AE0" w:rsidP="001A08EC">
            <w:pPr>
              <w:pStyle w:val="BodyText"/>
              <w:spacing w:line="256" w:lineRule="auto"/>
              <w:jc w:val="center"/>
              <w:rPr>
                <w:b/>
                <w:szCs w:val="24"/>
              </w:rPr>
            </w:pPr>
            <w:r w:rsidRPr="00546BC3">
              <w:rPr>
                <w:b/>
                <w:szCs w:val="24"/>
              </w:rPr>
              <w:t>SIA “KI POINT”</w:t>
            </w:r>
          </w:p>
        </w:tc>
        <w:tc>
          <w:tcPr>
            <w:tcW w:w="4252" w:type="dxa"/>
            <w:tcBorders>
              <w:top w:val="single" w:sz="4" w:space="0" w:color="auto"/>
              <w:left w:val="single" w:sz="4" w:space="0" w:color="auto"/>
              <w:bottom w:val="single" w:sz="4" w:space="0" w:color="auto"/>
              <w:right w:val="single" w:sz="4" w:space="0" w:color="auto"/>
            </w:tcBorders>
            <w:vAlign w:val="center"/>
          </w:tcPr>
          <w:p w:rsidR="000F2AE0" w:rsidRPr="00546BC3" w:rsidRDefault="000F2AE0" w:rsidP="002229EC">
            <w:pPr>
              <w:spacing w:line="256" w:lineRule="auto"/>
              <w:jc w:val="center"/>
              <w:outlineLvl w:val="0"/>
              <w:rPr>
                <w:rFonts w:ascii="Times New Roman" w:hAnsi="Times New Roman"/>
                <w:b/>
              </w:rPr>
            </w:pPr>
            <w:r w:rsidRPr="00546BC3">
              <w:rPr>
                <w:rFonts w:ascii="Times New Roman" w:hAnsi="Times New Roman"/>
                <w:b/>
              </w:rPr>
              <w:t>Neatbilst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8</w:t>
            </w:r>
            <w:r w:rsidR="0065607C"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65607C" w:rsidRPr="00546BC3" w:rsidRDefault="0065607C" w:rsidP="001A08EC">
            <w:pPr>
              <w:pStyle w:val="BodyText"/>
              <w:spacing w:line="256" w:lineRule="auto"/>
              <w:jc w:val="center"/>
              <w:rPr>
                <w:b/>
                <w:szCs w:val="24"/>
              </w:rPr>
            </w:pPr>
            <w:r w:rsidRPr="00546BC3">
              <w:rPr>
                <w:b/>
                <w:szCs w:val="24"/>
              </w:rPr>
              <w:t>SIA “</w:t>
            </w:r>
            <w:proofErr w:type="spellStart"/>
            <w:r w:rsidRPr="00546BC3">
              <w:rPr>
                <w:b/>
                <w:szCs w:val="24"/>
              </w:rPr>
              <w:t>Triple</w:t>
            </w:r>
            <w:proofErr w:type="spellEnd"/>
            <w:r w:rsidRPr="00546BC3">
              <w:rPr>
                <w:b/>
                <w:szCs w:val="24"/>
              </w:rPr>
              <w:t xml:space="preserve"> </w:t>
            </w:r>
            <w:proofErr w:type="spellStart"/>
            <w:r w:rsidRPr="00546BC3">
              <w:rPr>
                <w:b/>
                <w:szCs w:val="24"/>
              </w:rPr>
              <w:t>Bounce</w:t>
            </w:r>
            <w:proofErr w:type="spellEnd"/>
            <w:r w:rsidRPr="00546BC3">
              <w:rPr>
                <w:b/>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9</w:t>
            </w:r>
            <w:r w:rsidR="0065607C"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65607C" w:rsidRPr="00546BC3" w:rsidRDefault="0065607C" w:rsidP="001A08EC">
            <w:pPr>
              <w:pStyle w:val="BodyText"/>
              <w:spacing w:line="256" w:lineRule="auto"/>
              <w:jc w:val="center"/>
              <w:rPr>
                <w:b/>
                <w:szCs w:val="24"/>
              </w:rPr>
            </w:pPr>
            <w:r w:rsidRPr="00546BC3">
              <w:rPr>
                <w:b/>
                <w:szCs w:val="24"/>
              </w:rPr>
              <w:t>SIA “</w:t>
            </w:r>
            <w:proofErr w:type="spellStart"/>
            <w:r w:rsidRPr="00546BC3">
              <w:rPr>
                <w:b/>
                <w:szCs w:val="24"/>
              </w:rPr>
              <w:t>Bright</w:t>
            </w:r>
            <w:proofErr w:type="spellEnd"/>
            <w:r w:rsidRPr="00546BC3">
              <w:rPr>
                <w:b/>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65607C"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65607C"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10</w:t>
            </w:r>
            <w:r w:rsidR="0065607C"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65607C" w:rsidRPr="00546BC3" w:rsidRDefault="0065607C" w:rsidP="001A08EC">
            <w:pPr>
              <w:pStyle w:val="BodyText"/>
              <w:spacing w:line="256" w:lineRule="auto"/>
              <w:jc w:val="center"/>
              <w:rPr>
                <w:b/>
                <w:szCs w:val="24"/>
              </w:rPr>
            </w:pPr>
            <w:r w:rsidRPr="00546BC3">
              <w:rPr>
                <w:b/>
                <w:szCs w:val="24"/>
              </w:rPr>
              <w:t>SIA “OZOLS IR”</w:t>
            </w:r>
          </w:p>
        </w:tc>
        <w:tc>
          <w:tcPr>
            <w:tcW w:w="4252" w:type="dxa"/>
            <w:tcBorders>
              <w:top w:val="single" w:sz="4" w:space="0" w:color="auto"/>
              <w:left w:val="single" w:sz="4" w:space="0" w:color="auto"/>
              <w:bottom w:val="single" w:sz="4" w:space="0" w:color="auto"/>
              <w:right w:val="single" w:sz="4" w:space="0" w:color="auto"/>
            </w:tcBorders>
            <w:vAlign w:val="center"/>
          </w:tcPr>
          <w:p w:rsidR="0065607C" w:rsidRPr="00546BC3" w:rsidRDefault="002229EC" w:rsidP="002229EC">
            <w:pPr>
              <w:spacing w:line="256" w:lineRule="auto"/>
              <w:jc w:val="center"/>
              <w:outlineLvl w:val="0"/>
              <w:rPr>
                <w:rFonts w:ascii="Times New Roman" w:hAnsi="Times New Roman"/>
                <w:b/>
              </w:rPr>
            </w:pPr>
            <w:r w:rsidRPr="00546BC3">
              <w:rPr>
                <w:rFonts w:ascii="Times New Roman" w:hAnsi="Times New Roman"/>
                <w:b/>
              </w:rPr>
              <w:t>Atbilst</w:t>
            </w:r>
          </w:p>
        </w:tc>
      </w:tr>
      <w:tr w:rsidR="00D14047"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D14047"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11</w:t>
            </w:r>
            <w:r w:rsidR="00D14047"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D14047" w:rsidRPr="00546BC3" w:rsidRDefault="00D14047" w:rsidP="001A08EC">
            <w:pPr>
              <w:pStyle w:val="BodyText"/>
              <w:spacing w:line="256" w:lineRule="auto"/>
              <w:jc w:val="center"/>
              <w:rPr>
                <w:b/>
                <w:szCs w:val="24"/>
              </w:rPr>
            </w:pPr>
            <w:r w:rsidRPr="00546BC3">
              <w:rPr>
                <w:b/>
                <w:szCs w:val="24"/>
              </w:rPr>
              <w:t>SIA “Prīmuss Marketings”</w:t>
            </w:r>
          </w:p>
        </w:tc>
        <w:tc>
          <w:tcPr>
            <w:tcW w:w="4252" w:type="dxa"/>
            <w:tcBorders>
              <w:top w:val="single" w:sz="4" w:space="0" w:color="auto"/>
              <w:left w:val="single" w:sz="4" w:space="0" w:color="auto"/>
              <w:bottom w:val="single" w:sz="4" w:space="0" w:color="auto"/>
              <w:right w:val="single" w:sz="4" w:space="0" w:color="auto"/>
            </w:tcBorders>
            <w:vAlign w:val="center"/>
          </w:tcPr>
          <w:p w:rsidR="00D14047" w:rsidRPr="00546BC3" w:rsidRDefault="00D14047" w:rsidP="002229EC">
            <w:pPr>
              <w:spacing w:line="256" w:lineRule="auto"/>
              <w:jc w:val="center"/>
              <w:outlineLvl w:val="0"/>
              <w:rPr>
                <w:rFonts w:ascii="Times New Roman" w:hAnsi="Times New Roman"/>
                <w:b/>
              </w:rPr>
            </w:pPr>
            <w:r w:rsidRPr="00546BC3">
              <w:rPr>
                <w:rFonts w:ascii="Times New Roman" w:hAnsi="Times New Roman"/>
                <w:b/>
              </w:rPr>
              <w:t>Neatbilst</w:t>
            </w:r>
          </w:p>
        </w:tc>
      </w:tr>
      <w:tr w:rsidR="00D14047" w:rsidRPr="00546BC3" w:rsidTr="0065607C">
        <w:trPr>
          <w:trHeight w:val="454"/>
        </w:trPr>
        <w:tc>
          <w:tcPr>
            <w:tcW w:w="977" w:type="dxa"/>
            <w:tcBorders>
              <w:top w:val="single" w:sz="4" w:space="0" w:color="auto"/>
              <w:left w:val="single" w:sz="4" w:space="0" w:color="auto"/>
              <w:bottom w:val="single" w:sz="4" w:space="0" w:color="auto"/>
              <w:right w:val="single" w:sz="4" w:space="0" w:color="auto"/>
            </w:tcBorders>
          </w:tcPr>
          <w:p w:rsidR="00D14047" w:rsidRPr="00546BC3" w:rsidRDefault="0040100D" w:rsidP="001A08EC">
            <w:pPr>
              <w:spacing w:line="256" w:lineRule="auto"/>
              <w:jc w:val="center"/>
              <w:outlineLvl w:val="0"/>
              <w:rPr>
                <w:rFonts w:ascii="Times New Roman" w:hAnsi="Times New Roman"/>
                <w:b/>
              </w:rPr>
            </w:pPr>
            <w:r w:rsidRPr="00546BC3">
              <w:rPr>
                <w:rFonts w:ascii="Times New Roman" w:hAnsi="Times New Roman"/>
                <w:b/>
              </w:rPr>
              <w:t>12</w:t>
            </w:r>
            <w:r w:rsidR="00D14047" w:rsidRPr="00546BC3">
              <w:rPr>
                <w:rFonts w:ascii="Times New Roman" w:hAnsi="Times New Roman"/>
                <w:b/>
              </w:rPr>
              <w:t>.</w:t>
            </w:r>
          </w:p>
        </w:tc>
        <w:tc>
          <w:tcPr>
            <w:tcW w:w="3980" w:type="dxa"/>
            <w:tcBorders>
              <w:top w:val="single" w:sz="4" w:space="0" w:color="auto"/>
              <w:left w:val="single" w:sz="4" w:space="0" w:color="auto"/>
              <w:bottom w:val="single" w:sz="4" w:space="0" w:color="auto"/>
              <w:right w:val="single" w:sz="4" w:space="0" w:color="auto"/>
            </w:tcBorders>
            <w:vAlign w:val="center"/>
          </w:tcPr>
          <w:p w:rsidR="00D14047" w:rsidRPr="00546BC3" w:rsidRDefault="00D14047" w:rsidP="001A08EC">
            <w:pPr>
              <w:pStyle w:val="BodyText"/>
              <w:spacing w:line="256" w:lineRule="auto"/>
              <w:jc w:val="center"/>
              <w:rPr>
                <w:b/>
                <w:szCs w:val="24"/>
              </w:rPr>
            </w:pPr>
            <w:r w:rsidRPr="00546BC3">
              <w:rPr>
                <w:b/>
                <w:szCs w:val="24"/>
              </w:rPr>
              <w:t>SIA “</w:t>
            </w:r>
            <w:proofErr w:type="spellStart"/>
            <w:r w:rsidRPr="00546BC3">
              <w:rPr>
                <w:b/>
                <w:szCs w:val="24"/>
              </w:rPr>
              <w:t>Digibrand</w:t>
            </w:r>
            <w:proofErr w:type="spellEnd"/>
            <w:r w:rsidRPr="00546BC3">
              <w:rPr>
                <w:b/>
                <w:szCs w:val="24"/>
              </w:rPr>
              <w:t xml:space="preserve"> </w:t>
            </w:r>
            <w:proofErr w:type="spellStart"/>
            <w:r w:rsidRPr="00546BC3">
              <w:rPr>
                <w:b/>
                <w:szCs w:val="24"/>
              </w:rPr>
              <w:t>solutions</w:t>
            </w:r>
            <w:proofErr w:type="spellEnd"/>
            <w:r w:rsidRPr="00546BC3">
              <w:rPr>
                <w:b/>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rsidR="00D14047" w:rsidRPr="00546BC3" w:rsidRDefault="00D14047" w:rsidP="002229EC">
            <w:pPr>
              <w:spacing w:line="256" w:lineRule="auto"/>
              <w:jc w:val="center"/>
              <w:outlineLvl w:val="0"/>
              <w:rPr>
                <w:rFonts w:ascii="Times New Roman" w:hAnsi="Times New Roman"/>
                <w:b/>
              </w:rPr>
            </w:pPr>
            <w:r w:rsidRPr="00546BC3">
              <w:rPr>
                <w:rFonts w:ascii="Times New Roman" w:hAnsi="Times New Roman"/>
                <w:b/>
              </w:rPr>
              <w:t>Neatbilst</w:t>
            </w:r>
          </w:p>
        </w:tc>
      </w:tr>
    </w:tbl>
    <w:p w:rsidR="00091D9D" w:rsidRPr="00091D9D" w:rsidRDefault="00091D9D" w:rsidP="00C926F0">
      <w:pPr>
        <w:spacing w:before="120" w:line="276" w:lineRule="auto"/>
        <w:jc w:val="both"/>
        <w:rPr>
          <w:rFonts w:ascii="Times New Roman" w:eastAsia="Times New Roman" w:hAnsi="Times New Roman"/>
          <w:b/>
          <w:bCs/>
          <w:lang w:eastAsia="lv-LV"/>
        </w:rPr>
      </w:pPr>
      <w:r w:rsidRPr="00091D9D">
        <w:rPr>
          <w:rFonts w:ascii="Times New Roman" w:eastAsia="Times New Roman" w:hAnsi="Times New Roman"/>
          <w:b/>
          <w:bCs/>
          <w:lang w:eastAsia="lv-LV"/>
        </w:rPr>
        <w:t>2.daļa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80"/>
        <w:gridCol w:w="4252"/>
      </w:tblGrid>
      <w:tr w:rsidR="00091D9D" w:rsidRPr="00A73275" w:rsidTr="001A08EC">
        <w:trPr>
          <w:trHeight w:val="319"/>
        </w:trPr>
        <w:tc>
          <w:tcPr>
            <w:tcW w:w="977" w:type="dxa"/>
            <w:tcBorders>
              <w:top w:val="single" w:sz="4" w:space="0" w:color="auto"/>
              <w:left w:val="single" w:sz="4" w:space="0" w:color="auto"/>
              <w:bottom w:val="single" w:sz="4" w:space="0" w:color="auto"/>
              <w:right w:val="single" w:sz="4" w:space="0" w:color="auto"/>
            </w:tcBorders>
            <w:hideMark/>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Nr. </w:t>
            </w:r>
          </w:p>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p.k.</w:t>
            </w:r>
          </w:p>
        </w:tc>
        <w:tc>
          <w:tcPr>
            <w:tcW w:w="3980" w:type="dxa"/>
            <w:tcBorders>
              <w:top w:val="single" w:sz="4" w:space="0" w:color="auto"/>
              <w:left w:val="single" w:sz="4" w:space="0" w:color="auto"/>
              <w:bottom w:val="single" w:sz="4" w:space="0" w:color="auto"/>
              <w:right w:val="single" w:sz="4" w:space="0" w:color="auto"/>
            </w:tcBorders>
            <w:vAlign w:val="center"/>
            <w:hideMark/>
          </w:tcPr>
          <w:p w:rsidR="00091D9D" w:rsidRPr="00A73275" w:rsidRDefault="00091D9D" w:rsidP="001A08EC">
            <w:pPr>
              <w:pStyle w:val="BodyText"/>
              <w:spacing w:line="256" w:lineRule="auto"/>
              <w:jc w:val="center"/>
              <w:rPr>
                <w:b/>
                <w:szCs w:val="24"/>
              </w:rPr>
            </w:pPr>
            <w:r w:rsidRPr="00A73275">
              <w:rPr>
                <w:b/>
                <w:szCs w:val="24"/>
              </w:rPr>
              <w:t xml:space="preserve">Pretendenti </w:t>
            </w:r>
          </w:p>
          <w:p w:rsidR="00091D9D" w:rsidRPr="00A73275" w:rsidRDefault="00091D9D" w:rsidP="001A08EC">
            <w:pPr>
              <w:pStyle w:val="BodyText"/>
              <w:spacing w:line="256" w:lineRule="auto"/>
              <w:jc w:val="center"/>
              <w:rPr>
                <w:b/>
                <w:szCs w:val="24"/>
              </w:rPr>
            </w:pPr>
            <w:r w:rsidRPr="00A73275">
              <w:rPr>
                <w:b/>
                <w:szCs w:val="24"/>
              </w:rPr>
              <w:t>(nosaukums)</w:t>
            </w:r>
          </w:p>
        </w:tc>
        <w:tc>
          <w:tcPr>
            <w:tcW w:w="4252"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u w:val="single"/>
              </w:rPr>
            </w:pPr>
            <w:r w:rsidRPr="00A73275">
              <w:rPr>
                <w:rFonts w:ascii="Times New Roman" w:hAnsi="Times New Roman"/>
                <w:b/>
                <w:u w:val="single"/>
              </w:rPr>
              <w:t>atbilst vai neatbilst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91D9D" w:rsidRPr="00A73275" w:rsidRDefault="00091D9D" w:rsidP="001A08EC">
            <w:pPr>
              <w:pStyle w:val="BodyText"/>
              <w:spacing w:line="256" w:lineRule="auto"/>
              <w:jc w:val="center"/>
              <w:rPr>
                <w:b/>
                <w:szCs w:val="24"/>
              </w:rPr>
            </w:pPr>
            <w:r w:rsidRPr="00A73275">
              <w:rPr>
                <w:b/>
                <w:szCs w:val="24"/>
              </w:rPr>
              <w:t>SIA “BMH”</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1D9D" w:rsidRPr="00A73275" w:rsidRDefault="00091D9D" w:rsidP="001A08EC">
            <w:pPr>
              <w:pStyle w:val="BodyText"/>
              <w:spacing w:line="256" w:lineRule="auto"/>
              <w:jc w:val="center"/>
              <w:rPr>
                <w:b/>
                <w:szCs w:val="24"/>
              </w:rPr>
            </w:pPr>
            <w:r w:rsidRPr="00A73275">
              <w:rPr>
                <w:b/>
                <w:szCs w:val="24"/>
              </w:rPr>
              <w:t>SIA “CIMO”</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DE7185"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pStyle w:val="BodyText"/>
              <w:spacing w:line="256" w:lineRule="auto"/>
              <w:jc w:val="center"/>
              <w:rPr>
                <w:b/>
                <w:szCs w:val="24"/>
              </w:rPr>
            </w:pPr>
            <w:r w:rsidRPr="00A73275">
              <w:rPr>
                <w:b/>
                <w:szCs w:val="24"/>
              </w:rPr>
              <w:t>SIA “Base.lv”</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Atbilst</w:t>
            </w:r>
          </w:p>
        </w:tc>
      </w:tr>
      <w:tr w:rsidR="00DE7185"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pStyle w:val="BodyText"/>
              <w:spacing w:line="256" w:lineRule="auto"/>
              <w:jc w:val="center"/>
              <w:rPr>
                <w:b/>
                <w:szCs w:val="24"/>
              </w:rPr>
            </w:pPr>
            <w:r w:rsidRPr="00A73275">
              <w:rPr>
                <w:b/>
                <w:szCs w:val="24"/>
              </w:rPr>
              <w:t>SIA “</w:t>
            </w:r>
            <w:proofErr w:type="spellStart"/>
            <w:r w:rsidRPr="00A73275">
              <w:rPr>
                <w:b/>
                <w:szCs w:val="24"/>
              </w:rPr>
              <w:t>Qualita</w:t>
            </w:r>
            <w:proofErr w:type="spellEnd"/>
            <w:r w:rsidRPr="00A73275">
              <w:rPr>
                <w:b/>
                <w:szCs w:val="24"/>
              </w:rPr>
              <w:t xml:space="preserve"> </w:t>
            </w:r>
            <w:proofErr w:type="spellStart"/>
            <w:r w:rsidRPr="00A73275">
              <w:rPr>
                <w:b/>
                <w:szCs w:val="24"/>
              </w:rPr>
              <w:t>Centrale</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Neatbilst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5</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“DUE”</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Neatbilst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6</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w:t>
            </w:r>
            <w:proofErr w:type="spellStart"/>
            <w:r w:rsidRPr="00A73275">
              <w:rPr>
                <w:b/>
                <w:szCs w:val="24"/>
              </w:rPr>
              <w:t>Associates</w:t>
            </w:r>
            <w:proofErr w:type="spellEnd"/>
            <w:r w:rsidRPr="00A73275">
              <w:rPr>
                <w:b/>
                <w:szCs w:val="24"/>
              </w:rPr>
              <w:t xml:space="preserve">, </w:t>
            </w:r>
            <w:proofErr w:type="spellStart"/>
            <w:r w:rsidRPr="00A73275">
              <w:rPr>
                <w:b/>
                <w:szCs w:val="24"/>
              </w:rPr>
              <w:t>Partners</w:t>
            </w:r>
            <w:proofErr w:type="spellEnd"/>
            <w:r w:rsidRPr="00A73275">
              <w:rPr>
                <w:b/>
                <w:szCs w:val="24"/>
              </w:rPr>
              <w:t xml:space="preserve"> </w:t>
            </w:r>
            <w:proofErr w:type="spellStart"/>
            <w:r w:rsidRPr="00A73275">
              <w:rPr>
                <w:b/>
                <w:szCs w:val="24"/>
              </w:rPr>
              <w:t>et</w:t>
            </w:r>
            <w:proofErr w:type="spellEnd"/>
            <w:r w:rsidRPr="00A73275">
              <w:rPr>
                <w:b/>
                <w:szCs w:val="24"/>
              </w:rPr>
              <w:t xml:space="preserve"> </w:t>
            </w:r>
            <w:proofErr w:type="spellStart"/>
            <w:r w:rsidRPr="00A73275">
              <w:rPr>
                <w:b/>
                <w:szCs w:val="24"/>
              </w:rPr>
              <w:t>Sons</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7</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 xml:space="preserve">SIA “ESM </w:t>
            </w:r>
            <w:proofErr w:type="spellStart"/>
            <w:r w:rsidRPr="00A73275">
              <w:rPr>
                <w:b/>
                <w:szCs w:val="24"/>
              </w:rPr>
              <w:t>Group</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DE7185"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8.</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pStyle w:val="BodyText"/>
              <w:spacing w:line="256" w:lineRule="auto"/>
              <w:jc w:val="center"/>
              <w:rPr>
                <w:b/>
                <w:szCs w:val="24"/>
              </w:rPr>
            </w:pPr>
            <w:r w:rsidRPr="00A73275">
              <w:rPr>
                <w:b/>
                <w:szCs w:val="24"/>
              </w:rPr>
              <w:t>SIA “E FORMA”</w:t>
            </w:r>
          </w:p>
        </w:tc>
        <w:tc>
          <w:tcPr>
            <w:tcW w:w="567" w:type="dxa"/>
            <w:tcBorders>
              <w:top w:val="single" w:sz="4" w:space="0" w:color="auto"/>
              <w:left w:val="single" w:sz="4" w:space="0" w:color="auto"/>
              <w:bottom w:val="single" w:sz="4" w:space="0" w:color="auto"/>
              <w:right w:val="single" w:sz="4" w:space="0" w:color="auto"/>
            </w:tcBorders>
            <w:vAlign w:val="center"/>
          </w:tcPr>
          <w:p w:rsidR="00DE7185"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9</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“KI POINT”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Neatbilst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10</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w:t>
            </w:r>
            <w:proofErr w:type="spellStart"/>
            <w:r w:rsidRPr="00A73275">
              <w:rPr>
                <w:b/>
                <w:szCs w:val="24"/>
              </w:rPr>
              <w:t>Triple</w:t>
            </w:r>
            <w:proofErr w:type="spellEnd"/>
            <w:r w:rsidRPr="00A73275">
              <w:rPr>
                <w:b/>
                <w:szCs w:val="24"/>
              </w:rPr>
              <w:t xml:space="preserve"> </w:t>
            </w:r>
            <w:proofErr w:type="spellStart"/>
            <w:r w:rsidRPr="00A73275">
              <w:rPr>
                <w:b/>
                <w:szCs w:val="24"/>
              </w:rPr>
              <w:t>Bounce</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11</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w:t>
            </w:r>
            <w:proofErr w:type="spellStart"/>
            <w:r w:rsidRPr="00A73275">
              <w:rPr>
                <w:b/>
                <w:szCs w:val="24"/>
              </w:rPr>
              <w:t>Bright</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12</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“OZOLS IR”</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13</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“Prīmuss Marketings”</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Neatbilst</w:t>
            </w:r>
          </w:p>
        </w:tc>
      </w:tr>
      <w:tr w:rsidR="00091D9D" w:rsidRPr="00A73275" w:rsidTr="00C202C1">
        <w:trPr>
          <w:trHeight w:val="454"/>
        </w:trPr>
        <w:tc>
          <w:tcPr>
            <w:tcW w:w="567" w:type="dxa"/>
            <w:tcBorders>
              <w:top w:val="single" w:sz="4" w:space="0" w:color="auto"/>
              <w:left w:val="single" w:sz="4" w:space="0" w:color="auto"/>
              <w:bottom w:val="single" w:sz="4" w:space="0" w:color="auto"/>
              <w:right w:val="single" w:sz="4" w:space="0" w:color="auto"/>
            </w:tcBorders>
          </w:tcPr>
          <w:p w:rsidR="00091D9D" w:rsidRPr="00A73275" w:rsidRDefault="00DE7185" w:rsidP="001A08EC">
            <w:pPr>
              <w:spacing w:line="256" w:lineRule="auto"/>
              <w:jc w:val="center"/>
              <w:outlineLvl w:val="0"/>
              <w:rPr>
                <w:rFonts w:ascii="Times New Roman" w:hAnsi="Times New Roman"/>
                <w:b/>
              </w:rPr>
            </w:pPr>
            <w:r w:rsidRPr="00A73275">
              <w:rPr>
                <w:rFonts w:ascii="Times New Roman" w:hAnsi="Times New Roman"/>
                <w:b/>
              </w:rPr>
              <w:t>14</w:t>
            </w:r>
            <w:r w:rsidR="00091D9D" w:rsidRPr="00A73275">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pStyle w:val="BodyText"/>
              <w:spacing w:line="256" w:lineRule="auto"/>
              <w:jc w:val="center"/>
              <w:rPr>
                <w:b/>
                <w:szCs w:val="24"/>
              </w:rPr>
            </w:pPr>
            <w:r w:rsidRPr="00A73275">
              <w:rPr>
                <w:b/>
                <w:szCs w:val="24"/>
              </w:rPr>
              <w:t>SIA “</w:t>
            </w:r>
            <w:proofErr w:type="spellStart"/>
            <w:r w:rsidRPr="00A73275">
              <w:rPr>
                <w:b/>
                <w:szCs w:val="24"/>
              </w:rPr>
              <w:t>Digibrand</w:t>
            </w:r>
            <w:proofErr w:type="spellEnd"/>
            <w:r w:rsidRPr="00A73275">
              <w:rPr>
                <w:b/>
                <w:szCs w:val="24"/>
              </w:rPr>
              <w:t xml:space="preserve"> </w:t>
            </w:r>
            <w:proofErr w:type="spellStart"/>
            <w:r w:rsidRPr="00A73275">
              <w:rPr>
                <w:b/>
                <w:szCs w:val="24"/>
              </w:rPr>
              <w:t>solutions</w:t>
            </w:r>
            <w:proofErr w:type="spellEnd"/>
            <w:r w:rsidRPr="00A73275">
              <w:rPr>
                <w:b/>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1D9D" w:rsidRPr="00A73275" w:rsidRDefault="00091D9D" w:rsidP="001A08EC">
            <w:pPr>
              <w:spacing w:line="256" w:lineRule="auto"/>
              <w:jc w:val="center"/>
              <w:outlineLvl w:val="0"/>
              <w:rPr>
                <w:rFonts w:ascii="Times New Roman" w:hAnsi="Times New Roman"/>
                <w:b/>
              </w:rPr>
            </w:pPr>
            <w:r w:rsidRPr="00A73275">
              <w:rPr>
                <w:rFonts w:ascii="Times New Roman" w:hAnsi="Times New Roman"/>
                <w:b/>
              </w:rPr>
              <w:t>Neatbilst</w:t>
            </w:r>
          </w:p>
        </w:tc>
      </w:tr>
    </w:tbl>
    <w:p w:rsidR="001479D2" w:rsidRPr="001479D2" w:rsidRDefault="0003443F" w:rsidP="001479D2">
      <w:pPr>
        <w:pStyle w:val="ListParagraph"/>
        <w:numPr>
          <w:ilvl w:val="0"/>
          <w:numId w:val="3"/>
        </w:numPr>
        <w:spacing w:before="120"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932300" w:rsidRPr="001479D2" w:rsidRDefault="00932300" w:rsidP="001479D2">
      <w:pPr>
        <w:pStyle w:val="ListParagraph"/>
        <w:numPr>
          <w:ilvl w:val="0"/>
          <w:numId w:val="3"/>
        </w:numPr>
        <w:spacing w:before="120" w:line="276" w:lineRule="auto"/>
        <w:ind w:left="357" w:hanging="357"/>
        <w:jc w:val="both"/>
        <w:rPr>
          <w:rFonts w:ascii="Times New Roman" w:eastAsia="Times New Roman" w:hAnsi="Times New Roman"/>
          <w:b/>
          <w:bCs/>
          <w:lang w:eastAsia="lv-LV"/>
        </w:rPr>
      </w:pPr>
      <w:r w:rsidRPr="001479D2">
        <w:rPr>
          <w:rFonts w:ascii="Times New Roman" w:hAnsi="Times New Roman"/>
          <w:b/>
        </w:rPr>
        <w:t>D</w:t>
      </w:r>
      <w:r w:rsidRPr="001479D2">
        <w:rPr>
          <w:rFonts w:ascii="Times New Roman" w:hAnsi="Times New Roman"/>
          <w:b/>
        </w:rPr>
        <w:t>ienā, kad paziņojums par plānoto līgumu publicēts Iepirkumu uzraudzības biroja mājaslapā</w:t>
      </w:r>
      <w:r w:rsidRPr="001479D2">
        <w:rPr>
          <w:rFonts w:ascii="Times New Roman" w:hAnsi="Times New Roman"/>
          <w:b/>
        </w:rPr>
        <w:t xml:space="preserve"> (2016.</w:t>
      </w:r>
      <w:r w:rsidR="0066563A" w:rsidRPr="001479D2">
        <w:rPr>
          <w:rFonts w:ascii="Times New Roman" w:hAnsi="Times New Roman"/>
          <w:b/>
        </w:rPr>
        <w:t>gada 21</w:t>
      </w:r>
      <w:r w:rsidRPr="001479D2">
        <w:rPr>
          <w:rFonts w:ascii="Times New Roman" w:hAnsi="Times New Roman"/>
          <w:b/>
        </w:rPr>
        <w:t>.novembris)</w:t>
      </w:r>
      <w:r w:rsidRPr="001479D2">
        <w:rPr>
          <w:rFonts w:ascii="Times New Roman" w:hAnsi="Times New Roman"/>
        </w:rPr>
        <w:t xml:space="preserve"> </w:t>
      </w:r>
      <w:r w:rsidRPr="001479D2">
        <w:rPr>
          <w:rFonts w:ascii="Times New Roman" w:eastAsia="Times New Roman" w:hAnsi="Times New Roman"/>
          <w:b/>
          <w:bCs/>
          <w:lang w:eastAsia="lv-LV"/>
        </w:rPr>
        <w:t>Publisko iepirkumu likuma 8</w:t>
      </w:r>
      <w:r w:rsidRPr="001479D2">
        <w:rPr>
          <w:rFonts w:ascii="Times New Roman" w:eastAsia="Times New Roman" w:hAnsi="Times New Roman"/>
          <w:b/>
          <w:bCs/>
          <w:vertAlign w:val="superscript"/>
          <w:lang w:eastAsia="lv-LV"/>
        </w:rPr>
        <w:t>2</w:t>
      </w:r>
      <w:r w:rsidRPr="001479D2">
        <w:rPr>
          <w:rFonts w:ascii="Times New Roman" w:eastAsia="Times New Roman" w:hAnsi="Times New Roman"/>
          <w:b/>
          <w:bCs/>
          <w:lang w:eastAsia="lv-LV"/>
        </w:rPr>
        <w:t>. panta piektajā daļā minētie izslēgšanas nosacījumi pretendentiem</w:t>
      </w:r>
      <w:r w:rsidRPr="001479D2">
        <w:rPr>
          <w:rFonts w:ascii="Times New Roman" w:eastAsia="Times New Roman" w:hAnsi="Times New Roman"/>
          <w:bCs/>
          <w:lang w:eastAsia="lv-LV"/>
        </w:rPr>
        <w:t xml:space="preserve"> </w:t>
      </w:r>
      <w:r w:rsidR="009E2DFC" w:rsidRPr="001479D2">
        <w:rPr>
          <w:rFonts w:ascii="Times New Roman" w:eastAsia="Times New Roman" w:hAnsi="Times New Roman"/>
          <w:b/>
          <w:bCs/>
          <w:lang w:eastAsia="lv-LV"/>
        </w:rPr>
        <w:t>SIA</w:t>
      </w:r>
      <w:r w:rsidR="009E2DFC">
        <w:t xml:space="preserve"> </w:t>
      </w:r>
      <w:r w:rsidRPr="001479D2">
        <w:rPr>
          <w:rFonts w:ascii="Times New Roman" w:eastAsia="Times New Roman" w:hAnsi="Times New Roman"/>
          <w:b/>
          <w:bCs/>
          <w:lang w:eastAsia="lv-LV"/>
        </w:rPr>
        <w:t xml:space="preserve">“BMH”, </w:t>
      </w:r>
      <w:r w:rsidRPr="001479D2">
        <w:rPr>
          <w:rFonts w:ascii="Times New Roman" w:hAnsi="Times New Roman"/>
          <w:b/>
        </w:rPr>
        <w:t xml:space="preserve">SIA „CIMO”, </w:t>
      </w:r>
      <w:r w:rsidRPr="001479D2">
        <w:rPr>
          <w:rFonts w:ascii="Times New Roman" w:hAnsi="Times New Roman"/>
          <w:b/>
        </w:rPr>
        <w:t>SIA </w:t>
      </w:r>
      <w:r w:rsidRPr="001479D2">
        <w:rPr>
          <w:rFonts w:ascii="Times New Roman" w:hAnsi="Times New Roman"/>
          <w:b/>
        </w:rPr>
        <w:t>“Base.lv”</w:t>
      </w:r>
      <w:r w:rsidRPr="001479D2">
        <w:rPr>
          <w:rFonts w:ascii="Times New Roman" w:hAnsi="Times New Roman"/>
          <w:b/>
        </w:rPr>
        <w:t xml:space="preserve">, </w:t>
      </w:r>
      <w:r w:rsidRPr="001479D2">
        <w:rPr>
          <w:rFonts w:ascii="Times New Roman" w:hAnsi="Times New Roman"/>
          <w:b/>
        </w:rPr>
        <w:t>SIA “</w:t>
      </w:r>
      <w:proofErr w:type="spellStart"/>
      <w:r w:rsidRPr="001479D2">
        <w:rPr>
          <w:rFonts w:ascii="Times New Roman" w:hAnsi="Times New Roman"/>
          <w:b/>
        </w:rPr>
        <w:t>Qualita</w:t>
      </w:r>
      <w:proofErr w:type="spellEnd"/>
      <w:r w:rsidRPr="001479D2">
        <w:rPr>
          <w:rFonts w:ascii="Times New Roman" w:hAnsi="Times New Roman"/>
          <w:b/>
        </w:rPr>
        <w:t xml:space="preserve"> </w:t>
      </w:r>
      <w:proofErr w:type="spellStart"/>
      <w:r w:rsidRPr="001479D2">
        <w:rPr>
          <w:rFonts w:ascii="Times New Roman" w:hAnsi="Times New Roman"/>
          <w:b/>
        </w:rPr>
        <w:t>Centrale</w:t>
      </w:r>
      <w:proofErr w:type="spellEnd"/>
      <w:r w:rsidRPr="001479D2">
        <w:rPr>
          <w:rFonts w:ascii="Times New Roman" w:hAnsi="Times New Roman"/>
          <w:b/>
        </w:rPr>
        <w:t>”</w:t>
      </w:r>
      <w:r w:rsidRPr="001479D2">
        <w:rPr>
          <w:rFonts w:ascii="Times New Roman" w:hAnsi="Times New Roman"/>
          <w:b/>
        </w:rPr>
        <w:t xml:space="preserve">, </w:t>
      </w:r>
      <w:r w:rsidRPr="001479D2">
        <w:rPr>
          <w:rFonts w:ascii="Times New Roman" w:hAnsi="Times New Roman"/>
          <w:b/>
        </w:rPr>
        <w:t>SIA “DUE”</w:t>
      </w:r>
      <w:r w:rsidRPr="001479D2">
        <w:rPr>
          <w:rFonts w:ascii="Times New Roman" w:hAnsi="Times New Roman"/>
          <w:b/>
        </w:rPr>
        <w:t xml:space="preserve">, </w:t>
      </w:r>
      <w:r w:rsidRPr="001479D2">
        <w:rPr>
          <w:rFonts w:ascii="Times New Roman" w:hAnsi="Times New Roman"/>
          <w:b/>
        </w:rPr>
        <w:t>SIA “</w:t>
      </w:r>
      <w:proofErr w:type="spellStart"/>
      <w:r w:rsidRPr="001479D2">
        <w:rPr>
          <w:rFonts w:ascii="Times New Roman" w:hAnsi="Times New Roman"/>
          <w:b/>
        </w:rPr>
        <w:t>Associates</w:t>
      </w:r>
      <w:proofErr w:type="spellEnd"/>
      <w:r w:rsidRPr="001479D2">
        <w:rPr>
          <w:rFonts w:ascii="Times New Roman" w:hAnsi="Times New Roman"/>
          <w:b/>
        </w:rPr>
        <w:t xml:space="preserve">, </w:t>
      </w:r>
      <w:proofErr w:type="spellStart"/>
      <w:r w:rsidRPr="001479D2">
        <w:rPr>
          <w:rFonts w:ascii="Times New Roman" w:hAnsi="Times New Roman"/>
          <w:b/>
        </w:rPr>
        <w:t>Partners</w:t>
      </w:r>
      <w:proofErr w:type="spellEnd"/>
      <w:r w:rsidRPr="001479D2">
        <w:rPr>
          <w:rFonts w:ascii="Times New Roman" w:hAnsi="Times New Roman"/>
          <w:b/>
        </w:rPr>
        <w:t xml:space="preserve"> </w:t>
      </w:r>
      <w:proofErr w:type="spellStart"/>
      <w:r w:rsidRPr="001479D2">
        <w:rPr>
          <w:rFonts w:ascii="Times New Roman" w:hAnsi="Times New Roman"/>
          <w:b/>
        </w:rPr>
        <w:t>et</w:t>
      </w:r>
      <w:proofErr w:type="spellEnd"/>
      <w:r w:rsidRPr="001479D2">
        <w:rPr>
          <w:rFonts w:ascii="Times New Roman" w:hAnsi="Times New Roman"/>
          <w:b/>
        </w:rPr>
        <w:t xml:space="preserve"> </w:t>
      </w:r>
      <w:proofErr w:type="spellStart"/>
      <w:r w:rsidRPr="001479D2">
        <w:rPr>
          <w:rFonts w:ascii="Times New Roman" w:hAnsi="Times New Roman"/>
          <w:b/>
        </w:rPr>
        <w:t>Sons</w:t>
      </w:r>
      <w:proofErr w:type="spellEnd"/>
      <w:r w:rsidRPr="001479D2">
        <w:rPr>
          <w:rFonts w:ascii="Times New Roman" w:hAnsi="Times New Roman"/>
          <w:b/>
        </w:rPr>
        <w:t xml:space="preserve">”, SIA “ESM </w:t>
      </w:r>
      <w:proofErr w:type="spellStart"/>
      <w:r w:rsidRPr="001479D2">
        <w:rPr>
          <w:rFonts w:ascii="Times New Roman" w:hAnsi="Times New Roman"/>
          <w:b/>
        </w:rPr>
        <w:t>Group</w:t>
      </w:r>
      <w:proofErr w:type="spellEnd"/>
      <w:r w:rsidRPr="001479D2">
        <w:rPr>
          <w:rFonts w:ascii="Times New Roman" w:hAnsi="Times New Roman"/>
          <w:b/>
        </w:rPr>
        <w:t>”,</w:t>
      </w:r>
      <w:r w:rsidRPr="001479D2">
        <w:rPr>
          <w:rFonts w:ascii="Times New Roman" w:hAnsi="Times New Roman"/>
          <w:b/>
        </w:rPr>
        <w:t xml:space="preserve"> </w:t>
      </w:r>
      <w:r w:rsidRPr="001479D2">
        <w:rPr>
          <w:rFonts w:ascii="Times New Roman" w:hAnsi="Times New Roman"/>
          <w:b/>
        </w:rPr>
        <w:t>SIA “KI POINT”</w:t>
      </w:r>
      <w:r w:rsidRPr="001479D2">
        <w:rPr>
          <w:rFonts w:ascii="Times New Roman" w:hAnsi="Times New Roman"/>
          <w:b/>
        </w:rPr>
        <w:t>,</w:t>
      </w:r>
      <w:r w:rsidRPr="001479D2">
        <w:rPr>
          <w:rFonts w:ascii="Times New Roman" w:hAnsi="Times New Roman"/>
          <w:b/>
        </w:rPr>
        <w:t xml:space="preserve"> SIA “</w:t>
      </w:r>
      <w:proofErr w:type="spellStart"/>
      <w:r w:rsidRPr="001479D2">
        <w:rPr>
          <w:rFonts w:ascii="Times New Roman" w:hAnsi="Times New Roman"/>
          <w:b/>
        </w:rPr>
        <w:t>Triple</w:t>
      </w:r>
      <w:proofErr w:type="spellEnd"/>
      <w:r w:rsidRPr="001479D2">
        <w:rPr>
          <w:rFonts w:ascii="Times New Roman" w:hAnsi="Times New Roman"/>
          <w:b/>
        </w:rPr>
        <w:t xml:space="preserve"> </w:t>
      </w:r>
      <w:proofErr w:type="spellStart"/>
      <w:r w:rsidRPr="001479D2">
        <w:rPr>
          <w:rFonts w:ascii="Times New Roman" w:hAnsi="Times New Roman"/>
          <w:b/>
        </w:rPr>
        <w:t>Bounce</w:t>
      </w:r>
      <w:proofErr w:type="spellEnd"/>
      <w:r w:rsidRPr="001479D2">
        <w:rPr>
          <w:rFonts w:ascii="Times New Roman" w:hAnsi="Times New Roman"/>
          <w:b/>
        </w:rPr>
        <w:t>”, SIA “</w:t>
      </w:r>
      <w:proofErr w:type="spellStart"/>
      <w:r w:rsidRPr="001479D2">
        <w:rPr>
          <w:rFonts w:ascii="Times New Roman" w:hAnsi="Times New Roman"/>
          <w:b/>
        </w:rPr>
        <w:t>Bright</w:t>
      </w:r>
      <w:proofErr w:type="spellEnd"/>
      <w:r w:rsidRPr="001479D2">
        <w:rPr>
          <w:rFonts w:ascii="Times New Roman" w:hAnsi="Times New Roman"/>
          <w:b/>
        </w:rPr>
        <w:t>”, SIA “OZOLS IR”, SIA “E-FORMA”</w:t>
      </w:r>
      <w:r w:rsidRPr="001479D2">
        <w:rPr>
          <w:rFonts w:ascii="Times New Roman" w:hAnsi="Times New Roman"/>
          <w:b/>
        </w:rPr>
        <w:t xml:space="preserve">, </w:t>
      </w:r>
      <w:r w:rsidRPr="001479D2">
        <w:rPr>
          <w:rFonts w:ascii="Times New Roman" w:hAnsi="Times New Roman"/>
          <w:b/>
        </w:rPr>
        <w:t>SIA “</w:t>
      </w:r>
      <w:proofErr w:type="spellStart"/>
      <w:r w:rsidRPr="001479D2">
        <w:rPr>
          <w:rFonts w:ascii="Times New Roman" w:hAnsi="Times New Roman"/>
          <w:b/>
        </w:rPr>
        <w:t>Digibrand</w:t>
      </w:r>
      <w:proofErr w:type="spellEnd"/>
      <w:r w:rsidRPr="001479D2">
        <w:rPr>
          <w:rFonts w:ascii="Times New Roman" w:hAnsi="Times New Roman"/>
          <w:b/>
        </w:rPr>
        <w:t xml:space="preserve"> </w:t>
      </w:r>
      <w:proofErr w:type="spellStart"/>
      <w:r w:rsidRPr="001479D2">
        <w:rPr>
          <w:rFonts w:ascii="Times New Roman" w:hAnsi="Times New Roman"/>
          <w:b/>
        </w:rPr>
        <w:t>solutions</w:t>
      </w:r>
      <w:proofErr w:type="spellEnd"/>
      <w:r w:rsidRPr="001479D2">
        <w:rPr>
          <w:rFonts w:ascii="Times New Roman" w:hAnsi="Times New Roman"/>
          <w:b/>
        </w:rPr>
        <w:t>”</w:t>
      </w:r>
      <w:r w:rsidRPr="001479D2">
        <w:rPr>
          <w:rFonts w:ascii="Times New Roman" w:eastAsia="Times New Roman" w:hAnsi="Times New Roman"/>
          <w:b/>
          <w:bCs/>
          <w:lang w:eastAsia="lv-LV"/>
        </w:rPr>
        <w:t xml:space="preserve"> </w:t>
      </w:r>
      <w:r w:rsidRPr="001479D2">
        <w:rPr>
          <w:rFonts w:ascii="Times New Roman" w:eastAsia="Times New Roman" w:hAnsi="Times New Roman"/>
          <w:b/>
          <w:bCs/>
          <w:u w:val="single"/>
          <w:lang w:eastAsia="lv-LV"/>
        </w:rPr>
        <w:t>nav</w:t>
      </w:r>
      <w:r w:rsidRPr="001479D2">
        <w:rPr>
          <w:rFonts w:ascii="Times New Roman" w:eastAsia="Times New Roman" w:hAnsi="Times New Roman"/>
          <w:b/>
          <w:bCs/>
          <w:u w:val="single"/>
          <w:lang w:eastAsia="lv-LV"/>
        </w:rPr>
        <w:t xml:space="preserve"> konstatējami.</w:t>
      </w:r>
    </w:p>
    <w:p w:rsidR="004B13E9" w:rsidRDefault="0089140D" w:rsidP="00EA2F77">
      <w:pPr>
        <w:pStyle w:val="ListParagraph"/>
        <w:numPr>
          <w:ilvl w:val="0"/>
          <w:numId w:val="3"/>
        </w:numPr>
        <w:spacing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r w:rsidR="000305BA">
        <w:rPr>
          <w:rFonts w:ascii="Times New Roman" w:eastAsia="Times New Roman" w:hAnsi="Times New Roman"/>
          <w:b/>
          <w:bCs/>
          <w:lang w:eastAsia="lv-LV"/>
        </w:rPr>
        <w:t xml:space="preserve"> </w:t>
      </w:r>
    </w:p>
    <w:p w:rsidR="00C94B98" w:rsidRPr="00EA2F77" w:rsidRDefault="00C94B98" w:rsidP="009D657E">
      <w:pPr>
        <w:spacing w:before="120" w:line="276" w:lineRule="auto"/>
        <w:jc w:val="both"/>
        <w:rPr>
          <w:rFonts w:ascii="Times New Roman" w:hAnsi="Times New Roman"/>
        </w:rPr>
      </w:pPr>
      <w:r w:rsidRPr="00EA2F77">
        <w:rPr>
          <w:rFonts w:ascii="Times New Roman" w:hAnsi="Times New Roman"/>
        </w:rPr>
        <w:t>[</w:t>
      </w:r>
      <w:r w:rsidR="008C09B6">
        <w:rPr>
          <w:rFonts w:ascii="Times New Roman" w:hAnsi="Times New Roman"/>
        </w:rPr>
        <w:t>11</w:t>
      </w:r>
      <w:r w:rsidR="00EA2F77">
        <w:rPr>
          <w:rFonts w:ascii="Times New Roman" w:hAnsi="Times New Roman"/>
        </w:rPr>
        <w:t>.1</w:t>
      </w:r>
      <w:r w:rsidRPr="00EA2F77">
        <w:rPr>
          <w:rFonts w:ascii="Times New Roman" w:hAnsi="Times New Roman"/>
        </w:rPr>
        <w:t>] Komisija</w:t>
      </w:r>
      <w:r w:rsidR="002B76C9">
        <w:rPr>
          <w:rFonts w:ascii="Times New Roman" w:hAnsi="Times New Roman"/>
        </w:rPr>
        <w:t>,</w:t>
      </w:r>
      <w:r w:rsidRPr="00EA2F77">
        <w:rPr>
          <w:rFonts w:ascii="Times New Roman" w:hAnsi="Times New Roman"/>
        </w:rPr>
        <w:t xml:space="preserve"> vērtē</w:t>
      </w:r>
      <w:r w:rsidR="00EA2F77">
        <w:rPr>
          <w:rFonts w:ascii="Times New Roman" w:hAnsi="Times New Roman"/>
        </w:rPr>
        <w:t>jot</w:t>
      </w:r>
      <w:r w:rsidRPr="00EA2F77">
        <w:rPr>
          <w:rFonts w:ascii="Times New Roman" w:hAnsi="Times New Roman"/>
        </w:rPr>
        <w:t xml:space="preserve"> pretendenta </w:t>
      </w:r>
      <w:r w:rsidRPr="00EA2F77">
        <w:rPr>
          <w:rFonts w:ascii="Times New Roman" w:hAnsi="Times New Roman"/>
          <w:b/>
        </w:rPr>
        <w:t>SIA “Base.lv”</w:t>
      </w:r>
      <w:r w:rsidR="00EA2F77">
        <w:rPr>
          <w:rFonts w:ascii="Times New Roman" w:hAnsi="Times New Roman"/>
        </w:rPr>
        <w:t xml:space="preserve"> iesniegtā finanšu piedāvājuma</w:t>
      </w:r>
      <w:r w:rsidRPr="00EA2F77">
        <w:rPr>
          <w:rFonts w:ascii="Times New Roman" w:hAnsi="Times New Roman"/>
        </w:rPr>
        <w:t xml:space="preserve"> par Iepirkuma </w:t>
      </w:r>
      <w:r w:rsidR="00EA2F77">
        <w:rPr>
          <w:rFonts w:ascii="Times New Roman" w:hAnsi="Times New Roman"/>
          <w:b/>
        </w:rPr>
        <w:t>1.</w:t>
      </w:r>
      <w:r w:rsidRPr="00EA2F77">
        <w:rPr>
          <w:rFonts w:ascii="Times New Roman" w:hAnsi="Times New Roman"/>
          <w:b/>
        </w:rPr>
        <w:t>daļu</w:t>
      </w:r>
      <w:r w:rsidRPr="00EA2F77">
        <w:rPr>
          <w:rFonts w:ascii="Times New Roman" w:hAnsi="Times New Roman"/>
        </w:rPr>
        <w:t xml:space="preserve"> atbilstīb</w:t>
      </w:r>
      <w:r w:rsidR="002B76C9">
        <w:rPr>
          <w:rFonts w:ascii="Times New Roman" w:hAnsi="Times New Roman"/>
        </w:rPr>
        <w:t xml:space="preserve">u nolikumā noteiktajām prasībām, </w:t>
      </w:r>
      <w:r w:rsidRPr="00EA2F77">
        <w:rPr>
          <w:rFonts w:ascii="Times New Roman" w:hAnsi="Times New Roman"/>
        </w:rPr>
        <w:t>konstatē</w:t>
      </w:r>
      <w:r w:rsidR="00EA2F77">
        <w:rPr>
          <w:rFonts w:ascii="Times New Roman" w:hAnsi="Times New Roman"/>
        </w:rPr>
        <w:t>ja</w:t>
      </w:r>
      <w:r w:rsidRPr="00EA2F77">
        <w:rPr>
          <w:rFonts w:ascii="Times New Roman" w:hAnsi="Times New Roman"/>
        </w:rPr>
        <w:t xml:space="preserve">, ka pretendents Iepirkuma 1.daļā Finanšu piedāvājumā nav norādījis cenu, </w:t>
      </w:r>
      <w:r w:rsidR="00EA2F77">
        <w:rPr>
          <w:rFonts w:ascii="Times New Roman" w:hAnsi="Times New Roman"/>
        </w:rPr>
        <w:t>no kā</w:t>
      </w:r>
      <w:r w:rsidRPr="00EA2F77">
        <w:rPr>
          <w:rFonts w:ascii="Times New Roman" w:hAnsi="Times New Roman"/>
        </w:rPr>
        <w:t xml:space="preserve"> secināms, ka pretendents nav iesniedzis finanšu piedāvājumu Iepirkuma 1.daļā. Saskaņā ar Iepirkuma Nolikuma 6.5.1.apakšpunkta otro teikumu, ja pretendenta finanšu piedāvājums neatbilst nolikuma prasībām, Komisija noraida pretendenta piedāvāj</w:t>
      </w:r>
      <w:r w:rsidR="002B76C9">
        <w:rPr>
          <w:rFonts w:ascii="Times New Roman" w:hAnsi="Times New Roman"/>
        </w:rPr>
        <w:t>umu. Līdz ar to, Komisija secināja</w:t>
      </w:r>
      <w:r w:rsidRPr="00EA2F77">
        <w:rPr>
          <w:rFonts w:ascii="Times New Roman" w:hAnsi="Times New Roman"/>
        </w:rPr>
        <w:t xml:space="preserve">, ka pretendenta </w:t>
      </w:r>
      <w:r w:rsidRPr="00EA2F77">
        <w:rPr>
          <w:rFonts w:ascii="Times New Roman" w:hAnsi="Times New Roman"/>
          <w:b/>
        </w:rPr>
        <w:t>SIA “Base.lv”</w:t>
      </w:r>
      <w:r w:rsidRPr="00EA2F77">
        <w:rPr>
          <w:rFonts w:ascii="Times New Roman" w:hAnsi="Times New Roman"/>
        </w:rPr>
        <w:t xml:space="preserve"> piedāvājums Iepirkuma 1.daļā neatbilst nolikuma 6.5.1.apakšpunktā noteikt</w:t>
      </w:r>
      <w:r w:rsidR="00EA2F77">
        <w:rPr>
          <w:rFonts w:ascii="Times New Roman" w:hAnsi="Times New Roman"/>
        </w:rPr>
        <w:t>ajam, līdz ar to, ir noraidāms.</w:t>
      </w:r>
    </w:p>
    <w:p w:rsidR="00EA2F77" w:rsidRDefault="00C94B98" w:rsidP="000B2D1D">
      <w:pPr>
        <w:spacing w:line="276" w:lineRule="auto"/>
        <w:jc w:val="both"/>
        <w:rPr>
          <w:rFonts w:ascii="Times New Roman" w:hAnsi="Times New Roman"/>
        </w:rPr>
      </w:pPr>
      <w:r w:rsidRPr="00EA2F77">
        <w:rPr>
          <w:rFonts w:ascii="Times New Roman" w:hAnsi="Times New Roman"/>
        </w:rPr>
        <w:t>Ņemot</w:t>
      </w:r>
      <w:r w:rsidR="00EA2F77">
        <w:rPr>
          <w:rFonts w:ascii="Times New Roman" w:hAnsi="Times New Roman"/>
        </w:rPr>
        <w:t xml:space="preserve"> vērā iepriekš minēto, Komi</w:t>
      </w:r>
      <w:r w:rsidR="005C6E67">
        <w:rPr>
          <w:rFonts w:ascii="Times New Roman" w:hAnsi="Times New Roman"/>
        </w:rPr>
        <w:t>sija nol</w:t>
      </w:r>
      <w:r w:rsidR="000A7BDF">
        <w:rPr>
          <w:rFonts w:ascii="Times New Roman" w:hAnsi="Times New Roman"/>
        </w:rPr>
        <w:t>emj</w:t>
      </w:r>
      <w:r w:rsidR="005C6E67">
        <w:rPr>
          <w:rFonts w:ascii="Times New Roman" w:hAnsi="Times New Roman"/>
        </w:rPr>
        <w:t xml:space="preserve"> noraidīt pretendentu</w:t>
      </w:r>
      <w:r w:rsidR="00EA2F77">
        <w:rPr>
          <w:rFonts w:ascii="Times New Roman" w:hAnsi="Times New Roman"/>
        </w:rPr>
        <w:t xml:space="preserve"> </w:t>
      </w:r>
      <w:r w:rsidR="00EA2F77" w:rsidRPr="00EA2F77">
        <w:rPr>
          <w:rFonts w:ascii="Times New Roman" w:hAnsi="Times New Roman"/>
          <w:b/>
        </w:rPr>
        <w:t>SIA “Base.lv”</w:t>
      </w:r>
      <w:r w:rsidR="005C6E67">
        <w:rPr>
          <w:rFonts w:ascii="Times New Roman" w:hAnsi="Times New Roman"/>
        </w:rPr>
        <w:t>.</w:t>
      </w:r>
    </w:p>
    <w:p w:rsidR="00C94B98" w:rsidRPr="00EA2F77" w:rsidRDefault="00C94B98" w:rsidP="009D657E">
      <w:pPr>
        <w:spacing w:before="120" w:line="276" w:lineRule="auto"/>
        <w:jc w:val="both"/>
        <w:rPr>
          <w:rFonts w:ascii="Times New Roman" w:hAnsi="Times New Roman"/>
        </w:rPr>
      </w:pPr>
      <w:r w:rsidRPr="00EA2F77">
        <w:rPr>
          <w:rFonts w:ascii="Times New Roman" w:hAnsi="Times New Roman"/>
        </w:rPr>
        <w:t>[1</w:t>
      </w:r>
      <w:r w:rsidR="008C09B6">
        <w:rPr>
          <w:rFonts w:ascii="Times New Roman" w:hAnsi="Times New Roman"/>
        </w:rPr>
        <w:t>1</w:t>
      </w:r>
      <w:r w:rsidR="000B2D1D">
        <w:rPr>
          <w:rFonts w:ascii="Times New Roman" w:hAnsi="Times New Roman"/>
        </w:rPr>
        <w:t xml:space="preserve">.2] </w:t>
      </w:r>
      <w:r w:rsidRPr="00EA2F77">
        <w:rPr>
          <w:rFonts w:ascii="Times New Roman" w:hAnsi="Times New Roman"/>
        </w:rPr>
        <w:t>Komisija</w:t>
      </w:r>
      <w:r w:rsidR="002B76C9">
        <w:rPr>
          <w:rFonts w:ascii="Times New Roman" w:hAnsi="Times New Roman"/>
        </w:rPr>
        <w:t>,</w:t>
      </w:r>
      <w:r w:rsidRPr="00EA2F77">
        <w:rPr>
          <w:rFonts w:ascii="Times New Roman" w:hAnsi="Times New Roman"/>
        </w:rPr>
        <w:t xml:space="preserve"> vērtē</w:t>
      </w:r>
      <w:r w:rsidR="002B76C9">
        <w:rPr>
          <w:rFonts w:ascii="Times New Roman" w:hAnsi="Times New Roman"/>
        </w:rPr>
        <w:t>jot</w:t>
      </w:r>
      <w:r w:rsidRPr="00EA2F77">
        <w:rPr>
          <w:rFonts w:ascii="Times New Roman" w:hAnsi="Times New Roman"/>
        </w:rPr>
        <w:t xml:space="preserve"> pretendenta </w:t>
      </w:r>
      <w:r w:rsidRPr="00EA2F77">
        <w:rPr>
          <w:rFonts w:ascii="Times New Roman" w:hAnsi="Times New Roman"/>
          <w:b/>
        </w:rPr>
        <w:t>SIA “</w:t>
      </w:r>
      <w:proofErr w:type="spellStart"/>
      <w:r w:rsidRPr="00EA2F77">
        <w:rPr>
          <w:rFonts w:ascii="Times New Roman" w:hAnsi="Times New Roman"/>
          <w:b/>
        </w:rPr>
        <w:t>Qualita</w:t>
      </w:r>
      <w:proofErr w:type="spellEnd"/>
      <w:r w:rsidRPr="00EA2F77">
        <w:rPr>
          <w:rFonts w:ascii="Times New Roman" w:hAnsi="Times New Roman"/>
          <w:b/>
        </w:rPr>
        <w:t xml:space="preserve"> </w:t>
      </w:r>
      <w:proofErr w:type="spellStart"/>
      <w:r w:rsidRPr="00EA2F77">
        <w:rPr>
          <w:rFonts w:ascii="Times New Roman" w:hAnsi="Times New Roman"/>
          <w:b/>
        </w:rPr>
        <w:t>Centrale</w:t>
      </w:r>
      <w:proofErr w:type="spellEnd"/>
      <w:r w:rsidRPr="00EA2F77">
        <w:rPr>
          <w:rFonts w:ascii="Times New Roman" w:hAnsi="Times New Roman"/>
          <w:b/>
        </w:rPr>
        <w:t>”</w:t>
      </w:r>
      <w:r w:rsidRPr="00EA2F77">
        <w:rPr>
          <w:rFonts w:ascii="Times New Roman" w:hAnsi="Times New Roman"/>
        </w:rPr>
        <w:t xml:space="preserve"> iesniegtā piedāvājuma par Iepirkuma </w:t>
      </w:r>
      <w:r w:rsidRPr="00EA2F77">
        <w:rPr>
          <w:rFonts w:ascii="Times New Roman" w:hAnsi="Times New Roman"/>
          <w:b/>
        </w:rPr>
        <w:t>2.daļu</w:t>
      </w:r>
      <w:r w:rsidRPr="00EA2F77">
        <w:rPr>
          <w:rFonts w:ascii="Times New Roman" w:hAnsi="Times New Roman"/>
        </w:rPr>
        <w:t xml:space="preserve"> atbilstību </w:t>
      </w:r>
      <w:r w:rsidR="00893721">
        <w:rPr>
          <w:rFonts w:ascii="Times New Roman" w:hAnsi="Times New Roman"/>
        </w:rPr>
        <w:t>nolikumā noteiktajām piedāvājuma</w:t>
      </w:r>
      <w:r w:rsidRPr="00EA2F77">
        <w:rPr>
          <w:rFonts w:ascii="Times New Roman" w:hAnsi="Times New Roman"/>
        </w:rPr>
        <w:t xml:space="preserve"> noformēšanas prasībām</w:t>
      </w:r>
      <w:r w:rsidR="002B76C9">
        <w:rPr>
          <w:rFonts w:ascii="Times New Roman" w:hAnsi="Times New Roman"/>
        </w:rPr>
        <w:t>,</w:t>
      </w:r>
      <w:r w:rsidRPr="00EA2F77">
        <w:rPr>
          <w:rFonts w:ascii="Times New Roman" w:hAnsi="Times New Roman"/>
        </w:rPr>
        <w:t xml:space="preserve"> konstatē</w:t>
      </w:r>
      <w:r w:rsidR="002B76C9">
        <w:rPr>
          <w:rFonts w:ascii="Times New Roman" w:hAnsi="Times New Roman"/>
        </w:rPr>
        <w:t>ja</w:t>
      </w:r>
      <w:r w:rsidRPr="00EA2F77">
        <w:rPr>
          <w:rFonts w:ascii="Times New Roman" w:hAnsi="Times New Roman"/>
        </w:rPr>
        <w:t>,</w:t>
      </w:r>
      <w:r w:rsidR="002B76C9">
        <w:rPr>
          <w:rFonts w:ascii="Times New Roman" w:hAnsi="Times New Roman"/>
        </w:rPr>
        <w:t xml:space="preserve"> ka</w:t>
      </w:r>
      <w:r w:rsidRPr="00EA2F77">
        <w:rPr>
          <w:rFonts w:ascii="Times New Roman" w:hAnsi="Times New Roman"/>
        </w:rPr>
        <w:t xml:space="preserve"> pretendents ir iesniedzis tikai vienu piedāvājuma eksemplāru pretēji nolikuma 2.2.apakšpunktā noteiktajam, ka jāiesniedz 1 piedāvājuma oriģināls, 1 kopija un 1 piedāvājuma kopija elektroniskā formā. Iesniegtā piedāvājuma lapas nav sanumurētas un </w:t>
      </w:r>
      <w:proofErr w:type="spellStart"/>
      <w:r w:rsidRPr="00EA2F77">
        <w:rPr>
          <w:rFonts w:ascii="Times New Roman" w:hAnsi="Times New Roman"/>
        </w:rPr>
        <w:t>cauršūtie</w:t>
      </w:r>
      <w:proofErr w:type="spellEnd"/>
      <w:r w:rsidRPr="00EA2F77">
        <w:rPr>
          <w:rFonts w:ascii="Times New Roman" w:hAnsi="Times New Roman"/>
        </w:rPr>
        <w:t xml:space="preserve"> dokumenti nav apstiprināti ar pretendenta pārstāvja parakstu. Tāpat Komisija konstatē</w:t>
      </w:r>
      <w:r w:rsidR="002B76C9">
        <w:rPr>
          <w:rFonts w:ascii="Times New Roman" w:hAnsi="Times New Roman"/>
        </w:rPr>
        <w:t>ja</w:t>
      </w:r>
      <w:r w:rsidRPr="00EA2F77">
        <w:rPr>
          <w:rFonts w:ascii="Times New Roman" w:hAnsi="Times New Roman"/>
        </w:rPr>
        <w:t xml:space="preserve">, ka pretendents </w:t>
      </w:r>
      <w:r w:rsidRPr="002B76C9">
        <w:rPr>
          <w:rFonts w:ascii="Times New Roman" w:hAnsi="Times New Roman"/>
          <w:b/>
        </w:rPr>
        <w:t>SIA “</w:t>
      </w:r>
      <w:proofErr w:type="spellStart"/>
      <w:r w:rsidRPr="002B76C9">
        <w:rPr>
          <w:rFonts w:ascii="Times New Roman" w:hAnsi="Times New Roman"/>
          <w:b/>
        </w:rPr>
        <w:t>Qualita</w:t>
      </w:r>
      <w:proofErr w:type="spellEnd"/>
      <w:r w:rsidRPr="002B76C9">
        <w:rPr>
          <w:rFonts w:ascii="Times New Roman" w:hAnsi="Times New Roman"/>
          <w:b/>
        </w:rPr>
        <w:t xml:space="preserve"> </w:t>
      </w:r>
      <w:proofErr w:type="spellStart"/>
      <w:r w:rsidRPr="002B76C9">
        <w:rPr>
          <w:rFonts w:ascii="Times New Roman" w:hAnsi="Times New Roman"/>
          <w:b/>
        </w:rPr>
        <w:t>Centrale</w:t>
      </w:r>
      <w:proofErr w:type="spellEnd"/>
      <w:r w:rsidRPr="002B76C9">
        <w:rPr>
          <w:rFonts w:ascii="Times New Roman" w:hAnsi="Times New Roman"/>
          <w:b/>
        </w:rPr>
        <w:t>”</w:t>
      </w:r>
      <w:r w:rsidRPr="00EA2F77">
        <w:rPr>
          <w:rFonts w:ascii="Times New Roman" w:hAnsi="Times New Roman"/>
        </w:rPr>
        <w:t xml:space="preserve"> nav parakstījis pieteikumu dalībai iepirkumā</w:t>
      </w:r>
      <w:r w:rsidR="00C93883">
        <w:rPr>
          <w:rFonts w:ascii="Times New Roman" w:hAnsi="Times New Roman"/>
        </w:rPr>
        <w:t>. Atbilstoši Nolikuma 2.8.apakšpunktā noteiktajam p</w:t>
      </w:r>
      <w:r w:rsidR="00C93883" w:rsidRPr="00C93883">
        <w:rPr>
          <w:rFonts w:ascii="Times New Roman" w:hAnsi="Times New Roman"/>
        </w:rPr>
        <w:t>retendenta piedāvājumā iekļautos dokumentus, tajā skaitā arī pretendenta pieteikumu (</w:t>
      </w:r>
      <w:r w:rsidR="003600F9">
        <w:rPr>
          <w:rFonts w:ascii="Times New Roman" w:hAnsi="Times New Roman"/>
        </w:rPr>
        <w:t xml:space="preserve">Nolikuma </w:t>
      </w:r>
      <w:r w:rsidR="00C93883" w:rsidRPr="00C93883">
        <w:rPr>
          <w:rFonts w:ascii="Times New Roman" w:hAnsi="Times New Roman"/>
        </w:rPr>
        <w:t xml:space="preserve">1.pielikums), paraksta pretendenta </w:t>
      </w:r>
      <w:proofErr w:type="spellStart"/>
      <w:r w:rsidR="00C93883" w:rsidRPr="00C93883">
        <w:rPr>
          <w:rFonts w:ascii="Times New Roman" w:hAnsi="Times New Roman"/>
        </w:rPr>
        <w:t>paraksttiesīgā</w:t>
      </w:r>
      <w:proofErr w:type="spellEnd"/>
      <w:r w:rsidR="00C93883" w:rsidRPr="00C93883">
        <w:rPr>
          <w:rFonts w:ascii="Times New Roman" w:hAnsi="Times New Roman"/>
        </w:rPr>
        <w:t xml:space="preserve"> persona. Ja piedāvājuma oriģinālu paraksta pretendenta pilnvarota persona, piedāvājuma dokumentiem pievieno attiecīgo pilnvaru (kopiju).</w:t>
      </w:r>
    </w:p>
    <w:p w:rsidR="00C94B98" w:rsidRPr="00EA2F77" w:rsidRDefault="00C94B98" w:rsidP="00134C38">
      <w:pPr>
        <w:spacing w:line="276" w:lineRule="auto"/>
        <w:jc w:val="both"/>
        <w:rPr>
          <w:rFonts w:ascii="Times New Roman" w:hAnsi="Times New Roman"/>
        </w:rPr>
      </w:pPr>
      <w:r w:rsidRPr="00EA2F77">
        <w:rPr>
          <w:rFonts w:ascii="Times New Roman" w:hAnsi="Times New Roman"/>
        </w:rPr>
        <w:t>Komisija konstatē</w:t>
      </w:r>
      <w:r w:rsidR="002B76C9">
        <w:rPr>
          <w:rFonts w:ascii="Times New Roman" w:hAnsi="Times New Roman"/>
        </w:rPr>
        <w:t>ja</w:t>
      </w:r>
      <w:r w:rsidRPr="00EA2F77">
        <w:rPr>
          <w:rFonts w:ascii="Times New Roman" w:hAnsi="Times New Roman"/>
        </w:rPr>
        <w:t>, ka pretendenta pieredzes apraksts nav noformēts atbilstoši nolikuma prasībām (nolikuma 5.pielikums). Pretendents pieredzes aprakstā nav norādījis līguma priekšmetu, nav sniedzis tā aprakstu, kā arī nav norādījis, kādus vismaz piecus dažādus dizaina materiālus pieredzes aprakstā minēto līgumu ietvaros</w:t>
      </w:r>
      <w:r w:rsidR="00946C8B">
        <w:rPr>
          <w:rFonts w:ascii="Times New Roman" w:hAnsi="Times New Roman"/>
        </w:rPr>
        <w:t xml:space="preserve"> pretendents</w:t>
      </w:r>
      <w:r w:rsidRPr="00EA2F77">
        <w:rPr>
          <w:rFonts w:ascii="Times New Roman" w:hAnsi="Times New Roman"/>
        </w:rPr>
        <w:t xml:space="preserve"> ir izstrādājis. Tāpat pretendents nav iesniedzis informāciju par pasūtītāju, kuram veidoti vienotas identitātes vizuālie materiāli, kas pretendentam bija jāiesniedz saskaņā ar nolikuma 3.2.5.apakšpunktu.</w:t>
      </w:r>
    </w:p>
    <w:p w:rsidR="00C94B98" w:rsidRPr="00EA2F77" w:rsidRDefault="00C94B98" w:rsidP="00134C38">
      <w:pPr>
        <w:spacing w:line="276" w:lineRule="auto"/>
        <w:jc w:val="both"/>
        <w:rPr>
          <w:rFonts w:ascii="Times New Roman" w:hAnsi="Times New Roman"/>
        </w:rPr>
      </w:pPr>
      <w:r w:rsidRPr="00EA2F77">
        <w:rPr>
          <w:rFonts w:ascii="Times New Roman" w:hAnsi="Times New Roman"/>
        </w:rPr>
        <w:t>Saskaņā ar Iepirkuma nolikuma 6.3.2.1. un 6.3.2.2.apakšpunktu pretendents tiek izslēgts no turpmākās dalības Iepirkumā, ja Iepirkuma komisija konstatē, ka pretendents neatbilst kādai no nolikuma 3.punktā norādītajām kvalifikācijas prasībām vai pretendents nav iesniedzis kādu no nolikuma 3.punktā norādītajiem pretendentu atlases dokumentiem, un Iepirkuma komisija, vērtējot piedāvājumu kopumā, attiecīgo informāciju nevar iegūt no citiem piedāvājumā iekļautajiem dokumentiem vai publiskajās datubāzēs.</w:t>
      </w:r>
    </w:p>
    <w:p w:rsidR="00C94B98" w:rsidRPr="00EA2F77" w:rsidRDefault="00C94B98" w:rsidP="00134C38">
      <w:pPr>
        <w:spacing w:line="276" w:lineRule="auto"/>
        <w:jc w:val="both"/>
        <w:rPr>
          <w:rFonts w:ascii="Times New Roman" w:hAnsi="Times New Roman"/>
        </w:rPr>
      </w:pPr>
      <w:r w:rsidRPr="00EA2F77">
        <w:rPr>
          <w:rFonts w:ascii="Times New Roman" w:hAnsi="Times New Roman"/>
        </w:rPr>
        <w:t>Ņemot vērā minēto, Komisija</w:t>
      </w:r>
      <w:r w:rsidR="002E78F2">
        <w:rPr>
          <w:rFonts w:ascii="Times New Roman" w:hAnsi="Times New Roman"/>
        </w:rPr>
        <w:t xml:space="preserve"> nolemj</w:t>
      </w:r>
      <w:r w:rsidR="002B76C9">
        <w:rPr>
          <w:rFonts w:ascii="Times New Roman" w:hAnsi="Times New Roman"/>
        </w:rPr>
        <w:t xml:space="preserve"> noraid</w:t>
      </w:r>
      <w:r w:rsidR="00A022E8">
        <w:rPr>
          <w:rFonts w:ascii="Times New Roman" w:hAnsi="Times New Roman"/>
        </w:rPr>
        <w:t>ī</w:t>
      </w:r>
      <w:r w:rsidR="002B76C9">
        <w:rPr>
          <w:rFonts w:ascii="Times New Roman" w:hAnsi="Times New Roman"/>
        </w:rPr>
        <w:t>t</w:t>
      </w:r>
      <w:r w:rsidR="005C6E67">
        <w:rPr>
          <w:rFonts w:ascii="Times New Roman" w:hAnsi="Times New Roman"/>
        </w:rPr>
        <w:t xml:space="preserve"> pretendentu</w:t>
      </w:r>
      <w:r w:rsidRPr="00EA2F77">
        <w:rPr>
          <w:rFonts w:ascii="Times New Roman" w:hAnsi="Times New Roman"/>
        </w:rPr>
        <w:t xml:space="preserve"> </w:t>
      </w:r>
      <w:r w:rsidRPr="002B76C9">
        <w:rPr>
          <w:rFonts w:ascii="Times New Roman" w:hAnsi="Times New Roman"/>
          <w:b/>
        </w:rPr>
        <w:t>SIA “</w:t>
      </w:r>
      <w:proofErr w:type="spellStart"/>
      <w:r w:rsidRPr="002B76C9">
        <w:rPr>
          <w:rFonts w:ascii="Times New Roman" w:hAnsi="Times New Roman"/>
          <w:b/>
        </w:rPr>
        <w:t>Qualita</w:t>
      </w:r>
      <w:proofErr w:type="spellEnd"/>
      <w:r w:rsidRPr="002B76C9">
        <w:rPr>
          <w:rFonts w:ascii="Times New Roman" w:hAnsi="Times New Roman"/>
          <w:b/>
        </w:rPr>
        <w:t xml:space="preserve"> </w:t>
      </w:r>
      <w:proofErr w:type="spellStart"/>
      <w:r w:rsidRPr="002B76C9">
        <w:rPr>
          <w:rFonts w:ascii="Times New Roman" w:hAnsi="Times New Roman"/>
          <w:b/>
        </w:rPr>
        <w:t>Centrale</w:t>
      </w:r>
      <w:proofErr w:type="spellEnd"/>
      <w:r w:rsidRPr="002B76C9">
        <w:rPr>
          <w:rFonts w:ascii="Times New Roman" w:hAnsi="Times New Roman"/>
          <w:b/>
        </w:rPr>
        <w:t>”</w:t>
      </w:r>
      <w:r w:rsidR="005C6E67">
        <w:rPr>
          <w:rFonts w:ascii="Times New Roman" w:hAnsi="Times New Roman"/>
        </w:rPr>
        <w:t>.</w:t>
      </w:r>
    </w:p>
    <w:p w:rsidR="00C94B98" w:rsidRPr="00EA2F77" w:rsidRDefault="00C94B98" w:rsidP="00C3137C">
      <w:pPr>
        <w:spacing w:before="120" w:line="276" w:lineRule="auto"/>
        <w:jc w:val="both"/>
        <w:rPr>
          <w:rFonts w:ascii="Times New Roman" w:hAnsi="Times New Roman"/>
        </w:rPr>
      </w:pPr>
      <w:r w:rsidRPr="00EA2F77">
        <w:rPr>
          <w:rFonts w:ascii="Times New Roman" w:hAnsi="Times New Roman"/>
        </w:rPr>
        <w:t>[1</w:t>
      </w:r>
      <w:r w:rsidR="008C09B6">
        <w:rPr>
          <w:rFonts w:ascii="Times New Roman" w:hAnsi="Times New Roman"/>
        </w:rPr>
        <w:t>1</w:t>
      </w:r>
      <w:r w:rsidR="00134C38">
        <w:rPr>
          <w:rFonts w:ascii="Times New Roman" w:hAnsi="Times New Roman"/>
        </w:rPr>
        <w:t>.3</w:t>
      </w:r>
      <w:r w:rsidRPr="00EA2F77">
        <w:rPr>
          <w:rFonts w:ascii="Times New Roman" w:hAnsi="Times New Roman"/>
        </w:rPr>
        <w:t>] Komisija</w:t>
      </w:r>
      <w:r w:rsidR="00F301BA">
        <w:rPr>
          <w:rFonts w:ascii="Times New Roman" w:hAnsi="Times New Roman"/>
        </w:rPr>
        <w:t>,</w:t>
      </w:r>
      <w:r w:rsidRPr="00EA2F77">
        <w:rPr>
          <w:rFonts w:ascii="Times New Roman" w:hAnsi="Times New Roman"/>
        </w:rPr>
        <w:t xml:space="preserve"> vērtē</w:t>
      </w:r>
      <w:r w:rsidR="00F301BA">
        <w:rPr>
          <w:rFonts w:ascii="Times New Roman" w:hAnsi="Times New Roman"/>
        </w:rPr>
        <w:t>jot</w:t>
      </w:r>
      <w:r w:rsidRPr="00EA2F77">
        <w:rPr>
          <w:rFonts w:ascii="Times New Roman" w:hAnsi="Times New Roman"/>
        </w:rPr>
        <w:t xml:space="preserve"> pretendenta </w:t>
      </w:r>
      <w:r w:rsidRPr="00EA2F77">
        <w:rPr>
          <w:rFonts w:ascii="Times New Roman" w:hAnsi="Times New Roman"/>
          <w:b/>
        </w:rPr>
        <w:t>SIA “DUE”</w:t>
      </w:r>
      <w:r w:rsidRPr="00EA2F77">
        <w:rPr>
          <w:rFonts w:ascii="Times New Roman" w:hAnsi="Times New Roman"/>
        </w:rPr>
        <w:t xml:space="preserve"> iesniegtā piedāvājuma par Iepirkuma </w:t>
      </w:r>
      <w:r w:rsidRPr="00EA2F77">
        <w:rPr>
          <w:rFonts w:ascii="Times New Roman" w:hAnsi="Times New Roman"/>
          <w:b/>
        </w:rPr>
        <w:t>1. un 2.daļu</w:t>
      </w:r>
      <w:r w:rsidRPr="00EA2F77">
        <w:rPr>
          <w:rFonts w:ascii="Times New Roman" w:hAnsi="Times New Roman"/>
        </w:rPr>
        <w:t xml:space="preserve"> atbilstību nolikumā noteiktajām prasībām konstatē</w:t>
      </w:r>
      <w:r w:rsidR="00F301BA">
        <w:rPr>
          <w:rFonts w:ascii="Times New Roman" w:hAnsi="Times New Roman"/>
        </w:rPr>
        <w:t>ja</w:t>
      </w:r>
      <w:r w:rsidRPr="00EA2F77">
        <w:rPr>
          <w:rFonts w:ascii="Times New Roman" w:hAnsi="Times New Roman"/>
        </w:rPr>
        <w:t xml:space="preserve">, </w:t>
      </w:r>
      <w:r w:rsidR="00F301BA">
        <w:rPr>
          <w:rFonts w:ascii="Times New Roman" w:hAnsi="Times New Roman"/>
        </w:rPr>
        <w:t>ka</w:t>
      </w:r>
      <w:r w:rsidRPr="00EA2F77">
        <w:rPr>
          <w:rFonts w:ascii="Times New Roman" w:hAnsi="Times New Roman"/>
        </w:rPr>
        <w:t xml:space="preserve"> pretendents nav i</w:t>
      </w:r>
      <w:r w:rsidR="00F301BA">
        <w:rPr>
          <w:rFonts w:ascii="Times New Roman" w:hAnsi="Times New Roman"/>
        </w:rPr>
        <w:t>esniedzis tehnisko piedāvājumu.</w:t>
      </w:r>
    </w:p>
    <w:p w:rsidR="00C94B98" w:rsidRPr="00EA2F77" w:rsidRDefault="00C94B98" w:rsidP="007E7A58">
      <w:pPr>
        <w:spacing w:line="276" w:lineRule="auto"/>
        <w:jc w:val="both"/>
        <w:rPr>
          <w:rFonts w:ascii="Times New Roman" w:hAnsi="Times New Roman"/>
        </w:rPr>
      </w:pPr>
      <w:r w:rsidRPr="00EA2F77">
        <w:rPr>
          <w:rFonts w:ascii="Times New Roman" w:hAnsi="Times New Roman"/>
        </w:rPr>
        <w:t>Nolikuma 2.3.3.punktā ir noteikts, ka viens no dokumentiem, no kuriem sastāv pretendenta piedāvājums, ir tehniskais piedāvājums. Saskaņā ar nolikuma 6.2.apakšpunktu, ja Iepirkuma komisija konstatē būtiskas neatbilstības Iepirkuma nolikumā ietvertajām piedāvājumu noformēšanas prasībām, kas ietekmē iespēju izvērtēt pretendenta piedāvājumu, pretendents tiek noraidīts un Iepirkuma komisija šo piedāvājumu tālāk nevērtē.</w:t>
      </w:r>
    </w:p>
    <w:p w:rsidR="00C94B98" w:rsidRPr="00EA2F77" w:rsidRDefault="00C94B98" w:rsidP="007E7A58">
      <w:pPr>
        <w:spacing w:line="276" w:lineRule="auto"/>
        <w:jc w:val="both"/>
        <w:rPr>
          <w:rFonts w:ascii="Times New Roman" w:hAnsi="Times New Roman"/>
        </w:rPr>
      </w:pPr>
      <w:r w:rsidRPr="00EA2F77">
        <w:rPr>
          <w:rFonts w:ascii="Times New Roman" w:hAnsi="Times New Roman"/>
        </w:rPr>
        <w:t xml:space="preserve">Tā kā pretendents nav iesniedzis tehnisko piedāvājumu, Iepirkuma Komisija nevar izvērtēt pretendenta piedāvājumu, līdz ar to </w:t>
      </w:r>
      <w:r w:rsidR="007E7A58">
        <w:rPr>
          <w:rFonts w:ascii="Times New Roman" w:hAnsi="Times New Roman"/>
        </w:rPr>
        <w:t>Komisija no</w:t>
      </w:r>
      <w:r w:rsidR="00DD2A3D">
        <w:rPr>
          <w:rFonts w:ascii="Times New Roman" w:hAnsi="Times New Roman"/>
        </w:rPr>
        <w:t>lemj</w:t>
      </w:r>
      <w:r w:rsidR="001F7A0B">
        <w:rPr>
          <w:rFonts w:ascii="Times New Roman" w:hAnsi="Times New Roman"/>
        </w:rPr>
        <w:t xml:space="preserve"> noraidīt pretendentu</w:t>
      </w:r>
      <w:r w:rsidRPr="00EA2F77">
        <w:rPr>
          <w:rFonts w:ascii="Times New Roman" w:hAnsi="Times New Roman"/>
        </w:rPr>
        <w:t xml:space="preserve"> </w:t>
      </w:r>
      <w:r w:rsidRPr="007E7A58">
        <w:rPr>
          <w:rFonts w:ascii="Times New Roman" w:hAnsi="Times New Roman"/>
          <w:b/>
        </w:rPr>
        <w:t>SIA “DUE”</w:t>
      </w:r>
      <w:r w:rsidR="001F7A0B">
        <w:rPr>
          <w:rFonts w:ascii="Times New Roman" w:hAnsi="Times New Roman"/>
        </w:rPr>
        <w:t>.</w:t>
      </w:r>
    </w:p>
    <w:p w:rsidR="00C94B98" w:rsidRPr="00EA2F77" w:rsidRDefault="00C94B98" w:rsidP="00C3137C">
      <w:pPr>
        <w:spacing w:before="120" w:line="276" w:lineRule="auto"/>
        <w:jc w:val="both"/>
        <w:rPr>
          <w:rFonts w:ascii="Times New Roman" w:hAnsi="Times New Roman"/>
          <w:bCs/>
          <w:lang w:eastAsia="lv-LV"/>
        </w:rPr>
      </w:pPr>
      <w:r w:rsidRPr="00EA2F77">
        <w:rPr>
          <w:rFonts w:ascii="Times New Roman" w:hAnsi="Times New Roman"/>
          <w:bCs/>
          <w:lang w:eastAsia="lv-LV"/>
        </w:rPr>
        <w:t>[1</w:t>
      </w:r>
      <w:r w:rsidR="00FA6656">
        <w:rPr>
          <w:rFonts w:ascii="Times New Roman" w:hAnsi="Times New Roman"/>
          <w:bCs/>
          <w:lang w:eastAsia="lv-LV"/>
        </w:rPr>
        <w:t>1</w:t>
      </w:r>
      <w:r w:rsidR="00397029">
        <w:rPr>
          <w:rFonts w:ascii="Times New Roman" w:hAnsi="Times New Roman"/>
          <w:bCs/>
          <w:lang w:eastAsia="lv-LV"/>
        </w:rPr>
        <w:t>.4</w:t>
      </w:r>
      <w:r w:rsidRPr="00EA2F77">
        <w:rPr>
          <w:rFonts w:ascii="Times New Roman" w:hAnsi="Times New Roman"/>
          <w:bCs/>
          <w:lang w:eastAsia="lv-LV"/>
        </w:rPr>
        <w:t>] Komisija</w:t>
      </w:r>
      <w:r w:rsidR="00397029">
        <w:rPr>
          <w:rFonts w:ascii="Times New Roman" w:hAnsi="Times New Roman"/>
          <w:bCs/>
          <w:lang w:eastAsia="lv-LV"/>
        </w:rPr>
        <w:t>,</w:t>
      </w:r>
      <w:r w:rsidRPr="00EA2F77">
        <w:rPr>
          <w:rFonts w:ascii="Times New Roman" w:hAnsi="Times New Roman"/>
          <w:bCs/>
          <w:lang w:eastAsia="lv-LV"/>
        </w:rPr>
        <w:t xml:space="preserve"> vērtē</w:t>
      </w:r>
      <w:r w:rsidR="00397029">
        <w:rPr>
          <w:rFonts w:ascii="Times New Roman" w:hAnsi="Times New Roman"/>
          <w:bCs/>
          <w:lang w:eastAsia="lv-LV"/>
        </w:rPr>
        <w:t>jot</w:t>
      </w:r>
      <w:r w:rsidRPr="00EA2F77">
        <w:rPr>
          <w:rFonts w:ascii="Times New Roman" w:hAnsi="Times New Roman"/>
          <w:bCs/>
          <w:lang w:eastAsia="lv-LV"/>
        </w:rPr>
        <w:t xml:space="preserve"> pretendenta </w:t>
      </w:r>
      <w:r w:rsidRPr="00C3137C">
        <w:rPr>
          <w:rFonts w:ascii="Times New Roman" w:hAnsi="Times New Roman"/>
          <w:b/>
          <w:bCs/>
          <w:lang w:eastAsia="lv-LV"/>
        </w:rPr>
        <w:t>SIA “KI POINT”</w:t>
      </w:r>
      <w:r w:rsidRPr="00EA2F77">
        <w:rPr>
          <w:rFonts w:ascii="Times New Roman" w:hAnsi="Times New Roman"/>
          <w:bCs/>
          <w:lang w:eastAsia="lv-LV"/>
        </w:rPr>
        <w:t xml:space="preserve"> iesniegtā piedāvājuma par Iepirkuma </w:t>
      </w:r>
      <w:r w:rsidRPr="00A80F41">
        <w:rPr>
          <w:rFonts w:ascii="Times New Roman" w:hAnsi="Times New Roman"/>
          <w:b/>
          <w:bCs/>
          <w:lang w:eastAsia="lv-LV"/>
        </w:rPr>
        <w:t>1. un 2.daļu</w:t>
      </w:r>
      <w:r w:rsidRPr="00EA2F77">
        <w:rPr>
          <w:rFonts w:ascii="Times New Roman" w:hAnsi="Times New Roman"/>
          <w:bCs/>
          <w:lang w:eastAsia="lv-LV"/>
        </w:rPr>
        <w:t xml:space="preserve"> atbilstīb</w:t>
      </w:r>
      <w:r w:rsidR="00A80F41">
        <w:rPr>
          <w:rFonts w:ascii="Times New Roman" w:hAnsi="Times New Roman"/>
          <w:bCs/>
          <w:lang w:eastAsia="lv-LV"/>
        </w:rPr>
        <w:t xml:space="preserve">u nolikumā noteiktajām prasībām, </w:t>
      </w:r>
      <w:r w:rsidRPr="00EA2F77">
        <w:rPr>
          <w:rFonts w:ascii="Times New Roman" w:hAnsi="Times New Roman"/>
          <w:bCs/>
          <w:lang w:eastAsia="lv-LV"/>
        </w:rPr>
        <w:t>konstatē</w:t>
      </w:r>
      <w:r w:rsidR="00A80F41">
        <w:rPr>
          <w:rFonts w:ascii="Times New Roman" w:hAnsi="Times New Roman"/>
          <w:bCs/>
          <w:lang w:eastAsia="lv-LV"/>
        </w:rPr>
        <w:t>ja</w:t>
      </w:r>
      <w:r w:rsidRPr="00EA2F77">
        <w:rPr>
          <w:rFonts w:ascii="Times New Roman" w:hAnsi="Times New Roman"/>
          <w:bCs/>
          <w:lang w:eastAsia="lv-LV"/>
        </w:rPr>
        <w:t xml:space="preserve">, ka pretendents nav parakstījis pieteikumu dalībai iepirkumā. Nolikuma 2.8.apakšpunktā ir noteikts, ka pretendenta piedāvājumā iekļautos dokumentus, tajā skaitā arī pretendenta pieteikumu, kas noformēts atbilstoši nolikuma 1.pielikumam, paraksta pretendenta </w:t>
      </w:r>
      <w:proofErr w:type="spellStart"/>
      <w:r w:rsidRPr="00EA2F77">
        <w:rPr>
          <w:rFonts w:ascii="Times New Roman" w:hAnsi="Times New Roman"/>
          <w:bCs/>
          <w:lang w:eastAsia="lv-LV"/>
        </w:rPr>
        <w:t>paraksttiesīgā</w:t>
      </w:r>
      <w:proofErr w:type="spellEnd"/>
      <w:r w:rsidRPr="00EA2F77">
        <w:rPr>
          <w:rFonts w:ascii="Times New Roman" w:hAnsi="Times New Roman"/>
          <w:bCs/>
          <w:lang w:eastAsia="lv-LV"/>
        </w:rPr>
        <w:t xml:space="preserve"> persona. Tā kā pretendents ir parakstījis visu </w:t>
      </w:r>
      <w:proofErr w:type="spellStart"/>
      <w:r w:rsidRPr="00EA2F77">
        <w:rPr>
          <w:rFonts w:ascii="Times New Roman" w:hAnsi="Times New Roman"/>
          <w:bCs/>
          <w:lang w:eastAsia="lv-LV"/>
        </w:rPr>
        <w:t>cauršūto</w:t>
      </w:r>
      <w:proofErr w:type="spellEnd"/>
      <w:r w:rsidRPr="00EA2F77">
        <w:rPr>
          <w:rFonts w:ascii="Times New Roman" w:hAnsi="Times New Roman"/>
          <w:bCs/>
          <w:lang w:eastAsia="lv-LV"/>
        </w:rPr>
        <w:t xml:space="preserve"> dokumentu kopumu, ko uz tā pēdējās lapas ir apliecinājusi ar parakstu pretendenta </w:t>
      </w:r>
      <w:proofErr w:type="spellStart"/>
      <w:r w:rsidRPr="00EA2F77">
        <w:rPr>
          <w:rFonts w:ascii="Times New Roman" w:hAnsi="Times New Roman"/>
          <w:bCs/>
          <w:lang w:eastAsia="lv-LV"/>
        </w:rPr>
        <w:t>paraksttiesīgā</w:t>
      </w:r>
      <w:proofErr w:type="spellEnd"/>
      <w:r w:rsidRPr="00EA2F77">
        <w:rPr>
          <w:rFonts w:ascii="Times New Roman" w:hAnsi="Times New Roman"/>
          <w:bCs/>
          <w:lang w:eastAsia="lv-LV"/>
        </w:rPr>
        <w:t xml:space="preserve"> persona, Komisijas ieskatā pretendents ir pietiekami skaidri izteicis vēlmi piedalīties iepirkumā. Līdz ar to, konstatētā neatbilstība piedāvājuma noformēšanas prasībām Komisijas ieskatā nav būtiska.</w:t>
      </w:r>
    </w:p>
    <w:p w:rsidR="00C94B98" w:rsidRPr="00EA2F77" w:rsidRDefault="00C94B98" w:rsidP="00A80F41">
      <w:pPr>
        <w:spacing w:line="276" w:lineRule="auto"/>
        <w:jc w:val="both"/>
        <w:rPr>
          <w:rFonts w:ascii="Times New Roman" w:hAnsi="Times New Roman"/>
          <w:bCs/>
          <w:lang w:eastAsia="lv-LV"/>
        </w:rPr>
      </w:pPr>
      <w:r w:rsidRPr="00EA2F77">
        <w:rPr>
          <w:rFonts w:ascii="Times New Roman" w:hAnsi="Times New Roman"/>
          <w:bCs/>
          <w:lang w:eastAsia="lv-LV"/>
        </w:rPr>
        <w:t>Komisija konstatē</w:t>
      </w:r>
      <w:r w:rsidR="00A80F41">
        <w:rPr>
          <w:rFonts w:ascii="Times New Roman" w:hAnsi="Times New Roman"/>
          <w:bCs/>
          <w:lang w:eastAsia="lv-LV"/>
        </w:rPr>
        <w:t>ja</w:t>
      </w:r>
      <w:r w:rsidRPr="00EA2F77">
        <w:rPr>
          <w:rFonts w:ascii="Times New Roman" w:hAnsi="Times New Roman"/>
          <w:bCs/>
          <w:lang w:eastAsia="lv-LV"/>
        </w:rPr>
        <w:t>, ka Pretendents ir iesniedzis nolikuma 2.pielikumā “Tehniskā specifikācija/ Pretendenta piedāvājums” ietverto pretendenta piedāvājuma veidlapu, taču nav to aizpildījis, no kā konstatējams, ka pretendents nav iesniedzis tehnisko piedāvājumu.</w:t>
      </w:r>
    </w:p>
    <w:p w:rsidR="00C94B98" w:rsidRPr="00EA2F77" w:rsidRDefault="00C94B98" w:rsidP="00A80F41">
      <w:pPr>
        <w:spacing w:line="276" w:lineRule="auto"/>
        <w:jc w:val="both"/>
        <w:rPr>
          <w:rFonts w:ascii="Times New Roman" w:hAnsi="Times New Roman"/>
          <w:bCs/>
          <w:lang w:eastAsia="lv-LV"/>
        </w:rPr>
      </w:pPr>
      <w:r w:rsidRPr="00EA2F77">
        <w:rPr>
          <w:rFonts w:ascii="Times New Roman" w:hAnsi="Times New Roman"/>
          <w:bCs/>
          <w:lang w:eastAsia="lv-LV"/>
        </w:rPr>
        <w:t>Saskaņā ar</w:t>
      </w:r>
      <w:r w:rsidR="00A80F41">
        <w:rPr>
          <w:rFonts w:ascii="Times New Roman" w:hAnsi="Times New Roman"/>
          <w:bCs/>
          <w:lang w:eastAsia="lv-LV"/>
        </w:rPr>
        <w:t xml:space="preserve"> N</w:t>
      </w:r>
      <w:r w:rsidRPr="00EA2F77">
        <w:rPr>
          <w:rFonts w:ascii="Times New Roman" w:hAnsi="Times New Roman"/>
          <w:bCs/>
          <w:lang w:eastAsia="lv-LV"/>
        </w:rPr>
        <w:t>olikuma 6.2.apakšpunktu, ja Iepirkuma komisija konstatē būtiskas neatbilstības Iepirkuma nolikumā ietvertajām piedāvājumu noformēšanas prasībām, kas ietekmē iespēju izvērtēt pretendenta piedāvājumu, pretendents tiek noraidīts un Iepirkuma komisija šo piedāvājumu tālāk nevērtē.</w:t>
      </w:r>
    </w:p>
    <w:p w:rsidR="002D3537" w:rsidRDefault="00C94B98" w:rsidP="002D3537">
      <w:pPr>
        <w:spacing w:line="276" w:lineRule="auto"/>
        <w:jc w:val="both"/>
        <w:rPr>
          <w:rFonts w:ascii="Times New Roman" w:hAnsi="Times New Roman"/>
          <w:bCs/>
          <w:lang w:eastAsia="lv-LV"/>
        </w:rPr>
      </w:pPr>
      <w:r w:rsidRPr="00EA2F77">
        <w:rPr>
          <w:rFonts w:ascii="Times New Roman" w:hAnsi="Times New Roman"/>
          <w:bCs/>
          <w:lang w:eastAsia="lv-LV"/>
        </w:rPr>
        <w:t>Tā kā pretendents nav iesniedzis tehnisko piedāvājumu, Iepirkuma Komisija nevar izvērtēt pretendenta piedāvājumu, līd</w:t>
      </w:r>
      <w:r w:rsidR="00851E6C">
        <w:rPr>
          <w:rFonts w:ascii="Times New Roman" w:hAnsi="Times New Roman"/>
          <w:bCs/>
          <w:lang w:eastAsia="lv-LV"/>
        </w:rPr>
        <w:t xml:space="preserve">z ar to </w:t>
      </w:r>
      <w:r w:rsidR="00D96A7A">
        <w:rPr>
          <w:rFonts w:ascii="Times New Roman" w:hAnsi="Times New Roman"/>
          <w:bCs/>
          <w:lang w:eastAsia="lv-LV"/>
        </w:rPr>
        <w:t>Komisija nol</w:t>
      </w:r>
      <w:r w:rsidR="008B5FBC">
        <w:rPr>
          <w:rFonts w:ascii="Times New Roman" w:hAnsi="Times New Roman"/>
          <w:bCs/>
          <w:lang w:eastAsia="lv-LV"/>
        </w:rPr>
        <w:t>emj</w:t>
      </w:r>
      <w:r w:rsidR="00D96A7A">
        <w:rPr>
          <w:rFonts w:ascii="Times New Roman" w:hAnsi="Times New Roman"/>
          <w:bCs/>
          <w:lang w:eastAsia="lv-LV"/>
        </w:rPr>
        <w:t xml:space="preserve"> noraidīt pretendentu</w:t>
      </w:r>
      <w:r w:rsidRPr="00EA2F77">
        <w:rPr>
          <w:rFonts w:ascii="Times New Roman" w:hAnsi="Times New Roman"/>
          <w:bCs/>
          <w:lang w:eastAsia="lv-LV"/>
        </w:rPr>
        <w:t xml:space="preserve"> </w:t>
      </w:r>
      <w:r w:rsidRPr="00D208EF">
        <w:rPr>
          <w:rFonts w:ascii="Times New Roman" w:hAnsi="Times New Roman"/>
          <w:b/>
          <w:bCs/>
          <w:lang w:eastAsia="lv-LV"/>
        </w:rPr>
        <w:t>SIA</w:t>
      </w:r>
      <w:r w:rsidRPr="00EA2F77">
        <w:rPr>
          <w:rFonts w:ascii="Times New Roman" w:hAnsi="Times New Roman"/>
          <w:bCs/>
          <w:lang w:eastAsia="lv-LV"/>
        </w:rPr>
        <w:t xml:space="preserve"> </w:t>
      </w:r>
      <w:r w:rsidRPr="00D208EF">
        <w:rPr>
          <w:rFonts w:ascii="Times New Roman" w:hAnsi="Times New Roman"/>
          <w:b/>
          <w:bCs/>
          <w:lang w:eastAsia="lv-LV"/>
        </w:rPr>
        <w:t>“KI POINT”</w:t>
      </w:r>
      <w:r w:rsidR="00D96A7A">
        <w:rPr>
          <w:rFonts w:ascii="Times New Roman" w:hAnsi="Times New Roman"/>
          <w:bCs/>
          <w:lang w:eastAsia="lv-LV"/>
        </w:rPr>
        <w:t>.</w:t>
      </w:r>
    </w:p>
    <w:p w:rsidR="00C94B98" w:rsidRPr="00EA2F77" w:rsidRDefault="00C94B98" w:rsidP="002D3537">
      <w:pPr>
        <w:spacing w:before="120" w:line="276" w:lineRule="auto"/>
        <w:jc w:val="both"/>
        <w:rPr>
          <w:rFonts w:ascii="Times New Roman" w:hAnsi="Times New Roman"/>
          <w:bCs/>
          <w:lang w:eastAsia="lv-LV"/>
        </w:rPr>
      </w:pPr>
      <w:r w:rsidRPr="00EA2F77">
        <w:rPr>
          <w:rFonts w:ascii="Times New Roman" w:hAnsi="Times New Roman"/>
          <w:bCs/>
          <w:lang w:eastAsia="lv-LV"/>
        </w:rPr>
        <w:t>[1</w:t>
      </w:r>
      <w:r w:rsidR="00FA6656">
        <w:rPr>
          <w:rFonts w:ascii="Times New Roman" w:hAnsi="Times New Roman"/>
          <w:bCs/>
          <w:lang w:eastAsia="lv-LV"/>
        </w:rPr>
        <w:t>1</w:t>
      </w:r>
      <w:r w:rsidR="002D3537">
        <w:rPr>
          <w:rFonts w:ascii="Times New Roman" w:hAnsi="Times New Roman"/>
          <w:bCs/>
          <w:lang w:eastAsia="lv-LV"/>
        </w:rPr>
        <w:t>.5</w:t>
      </w:r>
      <w:r w:rsidRPr="00EA2F77">
        <w:rPr>
          <w:rFonts w:ascii="Times New Roman" w:hAnsi="Times New Roman"/>
          <w:bCs/>
          <w:lang w:eastAsia="lv-LV"/>
        </w:rPr>
        <w:t>] Komisija</w:t>
      </w:r>
      <w:r w:rsidR="002D3537">
        <w:rPr>
          <w:rFonts w:ascii="Times New Roman" w:hAnsi="Times New Roman"/>
          <w:bCs/>
          <w:lang w:eastAsia="lv-LV"/>
        </w:rPr>
        <w:t>,</w:t>
      </w:r>
      <w:r w:rsidRPr="00EA2F77">
        <w:rPr>
          <w:rFonts w:ascii="Times New Roman" w:hAnsi="Times New Roman"/>
          <w:bCs/>
          <w:lang w:eastAsia="lv-LV"/>
        </w:rPr>
        <w:t xml:space="preserve"> vērtē</w:t>
      </w:r>
      <w:r w:rsidR="002D3537">
        <w:rPr>
          <w:rFonts w:ascii="Times New Roman" w:hAnsi="Times New Roman"/>
          <w:bCs/>
          <w:lang w:eastAsia="lv-LV"/>
        </w:rPr>
        <w:t>jot</w:t>
      </w:r>
      <w:r w:rsidRPr="00EA2F77">
        <w:rPr>
          <w:rFonts w:ascii="Times New Roman" w:hAnsi="Times New Roman"/>
          <w:bCs/>
          <w:lang w:eastAsia="lv-LV"/>
        </w:rPr>
        <w:t xml:space="preserve"> pretendenta </w:t>
      </w:r>
      <w:r w:rsidRPr="002D3537">
        <w:rPr>
          <w:rFonts w:ascii="Times New Roman" w:hAnsi="Times New Roman"/>
          <w:b/>
          <w:bCs/>
          <w:lang w:eastAsia="lv-LV"/>
        </w:rPr>
        <w:t>SIA “Prīmuss Marketings”</w:t>
      </w:r>
      <w:r w:rsidRPr="00EA2F77">
        <w:rPr>
          <w:rFonts w:ascii="Times New Roman" w:hAnsi="Times New Roman"/>
          <w:bCs/>
          <w:lang w:eastAsia="lv-LV"/>
        </w:rPr>
        <w:t xml:space="preserve"> iesniegtā piedāvājuma par Iepirkuma </w:t>
      </w:r>
      <w:r w:rsidRPr="002D3537">
        <w:rPr>
          <w:rFonts w:ascii="Times New Roman" w:hAnsi="Times New Roman"/>
          <w:b/>
          <w:bCs/>
          <w:lang w:eastAsia="lv-LV"/>
        </w:rPr>
        <w:t>1. un 2.daļu</w:t>
      </w:r>
      <w:r w:rsidRPr="00EA2F77">
        <w:rPr>
          <w:rFonts w:ascii="Times New Roman" w:hAnsi="Times New Roman"/>
          <w:bCs/>
          <w:lang w:eastAsia="lv-LV"/>
        </w:rPr>
        <w:t xml:space="preserve"> atbilstību nolikumā noteiktajām prasībām konstatē</w:t>
      </w:r>
      <w:r w:rsidR="002D3537">
        <w:rPr>
          <w:rFonts w:ascii="Times New Roman" w:hAnsi="Times New Roman"/>
          <w:bCs/>
          <w:lang w:eastAsia="lv-LV"/>
        </w:rPr>
        <w:t>ja</w:t>
      </w:r>
      <w:r w:rsidRPr="00EA2F77">
        <w:rPr>
          <w:rFonts w:ascii="Times New Roman" w:hAnsi="Times New Roman"/>
          <w:bCs/>
          <w:lang w:eastAsia="lv-LV"/>
        </w:rPr>
        <w:t xml:space="preserve">, ka pretendentam </w:t>
      </w:r>
      <w:r w:rsidRPr="00926367">
        <w:rPr>
          <w:rFonts w:ascii="Times New Roman" w:hAnsi="Times New Roman"/>
          <w:b/>
          <w:bCs/>
          <w:lang w:eastAsia="lv-LV"/>
        </w:rPr>
        <w:t>SIA</w:t>
      </w:r>
      <w:r w:rsidRPr="00EA2F77">
        <w:rPr>
          <w:rFonts w:ascii="Times New Roman" w:hAnsi="Times New Roman"/>
          <w:bCs/>
          <w:lang w:eastAsia="lv-LV"/>
        </w:rPr>
        <w:t xml:space="preserve"> </w:t>
      </w:r>
      <w:r w:rsidRPr="002D3537">
        <w:rPr>
          <w:rFonts w:ascii="Times New Roman" w:hAnsi="Times New Roman"/>
          <w:b/>
          <w:bCs/>
          <w:lang w:eastAsia="lv-LV"/>
        </w:rPr>
        <w:t>“Prīmuss Marketings”</w:t>
      </w:r>
      <w:r w:rsidRPr="00EA2F77">
        <w:rPr>
          <w:rFonts w:ascii="Times New Roman" w:hAnsi="Times New Roman"/>
          <w:bCs/>
          <w:lang w:eastAsia="lv-LV"/>
        </w:rPr>
        <w:t xml:space="preserve"> dienā, kad paziņojums par plānoto līgumu publicēts Iepirkumu uzraudzības biroja mājaslapā (21.11.2016.) ir nodo</w:t>
      </w:r>
      <w:r w:rsidR="000B62B8">
        <w:rPr>
          <w:rFonts w:ascii="Times New Roman" w:hAnsi="Times New Roman"/>
          <w:bCs/>
          <w:lang w:eastAsia="lv-LV"/>
        </w:rPr>
        <w:t xml:space="preserve">kļu parāds, kas pārsniedz 150 </w:t>
      </w:r>
      <w:proofErr w:type="spellStart"/>
      <w:r w:rsidR="000B62B8" w:rsidRPr="000B62B8">
        <w:rPr>
          <w:rFonts w:ascii="Times New Roman" w:hAnsi="Times New Roman"/>
          <w:bCs/>
          <w:i/>
          <w:lang w:eastAsia="lv-LV"/>
        </w:rPr>
        <w:t>eu</w:t>
      </w:r>
      <w:r w:rsidRPr="000B62B8">
        <w:rPr>
          <w:rFonts w:ascii="Times New Roman" w:hAnsi="Times New Roman"/>
          <w:bCs/>
          <w:i/>
          <w:lang w:eastAsia="lv-LV"/>
        </w:rPr>
        <w:t>ro</w:t>
      </w:r>
      <w:proofErr w:type="spellEnd"/>
      <w:r w:rsidR="00BF2B2D">
        <w:rPr>
          <w:rFonts w:ascii="Times New Roman" w:hAnsi="Times New Roman"/>
          <w:bCs/>
          <w:lang w:eastAsia="lv-LV"/>
        </w:rPr>
        <w:t>.</w:t>
      </w:r>
    </w:p>
    <w:p w:rsidR="00C94B98" w:rsidRPr="00EA2F77" w:rsidRDefault="00C94B98" w:rsidP="000A6574">
      <w:pPr>
        <w:spacing w:line="276" w:lineRule="auto"/>
        <w:jc w:val="both"/>
        <w:rPr>
          <w:rFonts w:ascii="Times New Roman" w:hAnsi="Times New Roman"/>
          <w:bCs/>
          <w:lang w:eastAsia="lv-LV"/>
        </w:rPr>
      </w:pPr>
      <w:r w:rsidRPr="00EA2F77">
        <w:rPr>
          <w:rFonts w:ascii="Times New Roman" w:hAnsi="Times New Roman"/>
          <w:bCs/>
          <w:lang w:eastAsia="lv-LV"/>
        </w:rPr>
        <w:t>Saskaņā ar Publisko iepirkumu likuma 8.</w:t>
      </w:r>
      <w:r w:rsidRPr="006E04CD">
        <w:rPr>
          <w:rFonts w:ascii="Times New Roman" w:hAnsi="Times New Roman"/>
          <w:bCs/>
          <w:vertAlign w:val="superscript"/>
          <w:lang w:eastAsia="lv-LV"/>
        </w:rPr>
        <w:t>2</w:t>
      </w:r>
      <w:r w:rsidRPr="00EA2F77">
        <w:rPr>
          <w:rFonts w:ascii="Times New Roman" w:hAnsi="Times New Roman"/>
          <w:bCs/>
          <w:lang w:eastAsia="lv-LV"/>
        </w:rPr>
        <w:t xml:space="preserve"> panta astotās daļas 2.punktu pasūtītājs informē pretendentu par to, ka saskaņā ar Valsts ieņēmumu dienesta publiskajā nodokļu parādnieku datubāzē pēdējās datu aktualizācijas datumā ievietoto informāciju ir konstatēts, ka tam dienā, kad paziņojums par plānoto līgumu publicēts Iepirkumu uzraudzības biroja mājaslapā, ir nodokļu parādi, tajā skaitā valsts sociālās apdrošināšanas obligāto iemaksu parādi, kas kopsummā pārsniedz 150 </w:t>
      </w:r>
      <w:proofErr w:type="spellStart"/>
      <w:r w:rsidRPr="000A6574">
        <w:rPr>
          <w:rFonts w:ascii="Times New Roman" w:hAnsi="Times New Roman"/>
          <w:bCs/>
          <w:i/>
          <w:lang w:eastAsia="lv-LV"/>
        </w:rPr>
        <w:t>euro</w:t>
      </w:r>
      <w:proofErr w:type="spellEnd"/>
      <w:r w:rsidRPr="00EA2F77">
        <w:rPr>
          <w:rFonts w:ascii="Times New Roman" w:hAnsi="Times New Roman"/>
          <w:bCs/>
          <w:lang w:eastAsia="lv-LV"/>
        </w:rPr>
        <w:t xml:space="preserve">, un nosaka termiņu — 10 dienas pēc informācijas izsniegšanas vai nosūtīšanas dienas — apliecinājuma iesniegšanai. Pretendents, lai apliecinātu, ka tam nebija nodokļu parādu, tajā skaitā valsts sociālās apdrošināšanas obligāto iemaksu parādu, kas kopsummā pārsniedz 150 </w:t>
      </w:r>
      <w:proofErr w:type="spellStart"/>
      <w:r w:rsidRPr="00F63D93">
        <w:rPr>
          <w:rFonts w:ascii="Times New Roman" w:hAnsi="Times New Roman"/>
          <w:bCs/>
          <w:i/>
          <w:lang w:eastAsia="lv-LV"/>
        </w:rPr>
        <w:t>euro</w:t>
      </w:r>
      <w:proofErr w:type="spellEnd"/>
      <w:r w:rsidRPr="00EA2F77">
        <w:rPr>
          <w:rFonts w:ascii="Times New Roman" w:hAnsi="Times New Roman"/>
          <w:bCs/>
          <w:lang w:eastAsia="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F63D93">
        <w:rPr>
          <w:rFonts w:ascii="Times New Roman" w:hAnsi="Times New Roman"/>
          <w:bCs/>
          <w:i/>
          <w:lang w:eastAsia="lv-LV"/>
        </w:rPr>
        <w:t>euro</w:t>
      </w:r>
      <w:proofErr w:type="spellEnd"/>
      <w:r w:rsidRPr="00EA2F77">
        <w:rPr>
          <w:rFonts w:ascii="Times New Roman" w:hAnsi="Times New Roman"/>
          <w:bCs/>
          <w:lang w:eastAsia="lv-LV"/>
        </w:rPr>
        <w:t>. Ja noteiktajā termiņā minētais apliecinājums nav iesniegts, pasūtītājs pretendentu izslēdz no dalības iepirkumā.</w:t>
      </w:r>
    </w:p>
    <w:p w:rsidR="00C94B98" w:rsidRPr="00EA2F77" w:rsidRDefault="00C94B98" w:rsidP="00540A71">
      <w:pPr>
        <w:spacing w:line="276" w:lineRule="auto"/>
        <w:jc w:val="both"/>
        <w:rPr>
          <w:rFonts w:ascii="Times New Roman" w:hAnsi="Times New Roman"/>
          <w:bCs/>
          <w:lang w:eastAsia="lv-LV"/>
        </w:rPr>
      </w:pPr>
      <w:r w:rsidRPr="00EA2F77">
        <w:rPr>
          <w:rFonts w:ascii="Times New Roman" w:hAnsi="Times New Roman"/>
          <w:bCs/>
          <w:lang w:eastAsia="lv-LV"/>
        </w:rPr>
        <w:t>08.12.2016.</w:t>
      </w:r>
      <w:r w:rsidR="00540A71" w:rsidRPr="00540A71">
        <w:rPr>
          <w:rFonts w:ascii="Times New Roman" w:hAnsi="Times New Roman"/>
          <w:bCs/>
          <w:lang w:eastAsia="lv-LV"/>
        </w:rPr>
        <w:t xml:space="preserve"> </w:t>
      </w:r>
      <w:r w:rsidR="00540A71" w:rsidRPr="00EA2F77">
        <w:rPr>
          <w:rFonts w:ascii="Times New Roman" w:hAnsi="Times New Roman"/>
          <w:bCs/>
          <w:lang w:eastAsia="lv-LV"/>
        </w:rPr>
        <w:t>pretendentam</w:t>
      </w:r>
      <w:r w:rsidRPr="00EA2F77">
        <w:rPr>
          <w:rFonts w:ascii="Times New Roman" w:hAnsi="Times New Roman"/>
          <w:bCs/>
          <w:lang w:eastAsia="lv-LV"/>
        </w:rPr>
        <w:t xml:space="preserve"> </w:t>
      </w:r>
      <w:r w:rsidRPr="00540A71">
        <w:rPr>
          <w:rFonts w:ascii="Times New Roman" w:hAnsi="Times New Roman"/>
          <w:b/>
          <w:bCs/>
          <w:lang w:eastAsia="lv-LV"/>
        </w:rPr>
        <w:t>SIA “Prīmuss Marketings”</w:t>
      </w:r>
      <w:r w:rsidRPr="00EA2F77">
        <w:rPr>
          <w:rFonts w:ascii="Times New Roman" w:hAnsi="Times New Roman"/>
          <w:bCs/>
          <w:lang w:eastAsia="lv-LV"/>
        </w:rPr>
        <w:t xml:space="preserve"> </w:t>
      </w:r>
      <w:r w:rsidR="006E04CD">
        <w:rPr>
          <w:rFonts w:ascii="Times New Roman" w:hAnsi="Times New Roman"/>
          <w:bCs/>
          <w:lang w:eastAsia="lv-LV"/>
        </w:rPr>
        <w:t>gan pa pastu</w:t>
      </w:r>
      <w:r w:rsidR="00A711CE">
        <w:rPr>
          <w:rFonts w:ascii="Times New Roman" w:hAnsi="Times New Roman"/>
          <w:bCs/>
          <w:lang w:eastAsia="lv-LV"/>
        </w:rPr>
        <w:t>, gan elektroniski uz</w:t>
      </w:r>
      <w:r w:rsidR="006E04CD">
        <w:rPr>
          <w:rFonts w:ascii="Times New Roman" w:hAnsi="Times New Roman"/>
          <w:bCs/>
          <w:lang w:eastAsia="lv-LV"/>
        </w:rPr>
        <w:t xml:space="preserve"> </w:t>
      </w:r>
      <w:r w:rsidR="00A711CE">
        <w:rPr>
          <w:rFonts w:ascii="Times New Roman" w:hAnsi="Times New Roman"/>
          <w:bCs/>
          <w:lang w:eastAsia="lv-LV"/>
        </w:rPr>
        <w:t>pretendenta piedāvājumā norādīto</w:t>
      </w:r>
      <w:r w:rsidR="006E04CD">
        <w:rPr>
          <w:rFonts w:ascii="Times New Roman" w:hAnsi="Times New Roman"/>
          <w:bCs/>
          <w:lang w:eastAsia="lv-LV"/>
        </w:rPr>
        <w:t xml:space="preserve"> e-pasta adresi </w:t>
      </w:r>
      <w:hyperlink r:id="rId9" w:history="1">
        <w:r w:rsidR="006E04CD" w:rsidRPr="00A1581D">
          <w:rPr>
            <w:rStyle w:val="Hyperlink"/>
            <w:rFonts w:ascii="Times New Roman" w:hAnsi="Times New Roman"/>
            <w:bCs/>
            <w:lang w:eastAsia="lv-LV"/>
          </w:rPr>
          <w:t>martins@primuss.lv</w:t>
        </w:r>
      </w:hyperlink>
      <w:r w:rsidR="006E04CD">
        <w:rPr>
          <w:rFonts w:ascii="Times New Roman" w:hAnsi="Times New Roman"/>
          <w:bCs/>
          <w:lang w:eastAsia="lv-LV"/>
        </w:rPr>
        <w:t xml:space="preserve"> </w:t>
      </w:r>
      <w:r w:rsidRPr="00EA2F77">
        <w:rPr>
          <w:rFonts w:ascii="Times New Roman" w:hAnsi="Times New Roman"/>
          <w:bCs/>
          <w:lang w:eastAsia="lv-LV"/>
        </w:rPr>
        <w:t>tika nosūtīts pieprasījums, pamatojoties uz Publisko iepirkumu likumu 8.</w:t>
      </w:r>
      <w:r w:rsidRPr="00540A71">
        <w:rPr>
          <w:rFonts w:ascii="Times New Roman" w:hAnsi="Times New Roman"/>
          <w:bCs/>
          <w:vertAlign w:val="superscript"/>
          <w:lang w:eastAsia="lv-LV"/>
        </w:rPr>
        <w:t>2</w:t>
      </w:r>
      <w:r w:rsidRPr="00EA2F77">
        <w:rPr>
          <w:rFonts w:ascii="Times New Roman" w:hAnsi="Times New Roman"/>
          <w:bCs/>
          <w:lang w:eastAsia="lv-LV"/>
        </w:rPr>
        <w:t xml:space="preserve"> panta astotās daļas 2.punktu, lūdzot iesniegt apliecinājumu (pretendenta vai tā pārstāvja apliecināta izdruka no Valsts ieņēmumu dienesta elektroniskās deklarēšanās sistēmas), ka tam 21.11.2016. nebija nodokļu parād</w:t>
      </w:r>
      <w:r w:rsidR="00540A71">
        <w:rPr>
          <w:rFonts w:ascii="Times New Roman" w:hAnsi="Times New Roman"/>
          <w:bCs/>
          <w:lang w:eastAsia="lv-LV"/>
        </w:rPr>
        <w:t xml:space="preserve">u, kas kopsummā pārsniedz 150 </w:t>
      </w:r>
      <w:proofErr w:type="spellStart"/>
      <w:r w:rsidR="00540A71" w:rsidRPr="00540A71">
        <w:rPr>
          <w:rFonts w:ascii="Times New Roman" w:hAnsi="Times New Roman"/>
          <w:bCs/>
          <w:i/>
          <w:lang w:eastAsia="lv-LV"/>
        </w:rPr>
        <w:t>eu</w:t>
      </w:r>
      <w:r w:rsidRPr="00540A71">
        <w:rPr>
          <w:rFonts w:ascii="Times New Roman" w:hAnsi="Times New Roman"/>
          <w:bCs/>
          <w:i/>
          <w:lang w:eastAsia="lv-LV"/>
        </w:rPr>
        <w:t>ro</w:t>
      </w:r>
      <w:proofErr w:type="spellEnd"/>
      <w:r w:rsidRPr="00EA2F77">
        <w:rPr>
          <w:rFonts w:ascii="Times New Roman" w:hAnsi="Times New Roman"/>
          <w:bCs/>
          <w:lang w:eastAsia="lv-LV"/>
        </w:rPr>
        <w:t>.</w:t>
      </w:r>
    </w:p>
    <w:p w:rsidR="00C94B98" w:rsidRPr="00EA2F77" w:rsidRDefault="006E04CD" w:rsidP="006E04CD">
      <w:pPr>
        <w:tabs>
          <w:tab w:val="left" w:pos="2040"/>
        </w:tabs>
        <w:spacing w:line="276" w:lineRule="auto"/>
        <w:jc w:val="both"/>
        <w:rPr>
          <w:rFonts w:ascii="Times New Roman" w:hAnsi="Times New Roman"/>
          <w:bCs/>
          <w:lang w:eastAsia="lv-LV"/>
        </w:rPr>
      </w:pPr>
      <w:r>
        <w:rPr>
          <w:rFonts w:ascii="Times New Roman" w:hAnsi="Times New Roman"/>
          <w:bCs/>
          <w:lang w:eastAsia="lv-LV"/>
        </w:rPr>
        <w:t xml:space="preserve">Tā kā likumā </w:t>
      </w:r>
      <w:r w:rsidR="0015286B">
        <w:rPr>
          <w:rFonts w:ascii="Times New Roman" w:hAnsi="Times New Roman"/>
          <w:bCs/>
          <w:lang w:eastAsia="lv-LV"/>
        </w:rPr>
        <w:t xml:space="preserve">noteiktajā termiņā </w:t>
      </w:r>
      <w:r>
        <w:rPr>
          <w:rFonts w:ascii="Times New Roman" w:hAnsi="Times New Roman"/>
          <w:bCs/>
          <w:lang w:eastAsia="lv-LV"/>
        </w:rPr>
        <w:t xml:space="preserve">pēc vēstules nosūtīšanas Komisija </w:t>
      </w:r>
      <w:r w:rsidR="00C94B98" w:rsidRPr="00EA2F77">
        <w:rPr>
          <w:rFonts w:ascii="Times New Roman" w:hAnsi="Times New Roman"/>
          <w:bCs/>
          <w:lang w:eastAsia="lv-LV"/>
        </w:rPr>
        <w:t>minēto a</w:t>
      </w:r>
      <w:r>
        <w:rPr>
          <w:rFonts w:ascii="Times New Roman" w:hAnsi="Times New Roman"/>
          <w:bCs/>
          <w:lang w:eastAsia="lv-LV"/>
        </w:rPr>
        <w:t xml:space="preserve">pliecinājumu no pretendenta </w:t>
      </w:r>
      <w:r w:rsidRPr="006E04CD">
        <w:rPr>
          <w:rFonts w:ascii="Times New Roman" w:hAnsi="Times New Roman"/>
          <w:b/>
          <w:bCs/>
          <w:lang w:eastAsia="lv-LV"/>
        </w:rPr>
        <w:t>SIA </w:t>
      </w:r>
      <w:r w:rsidR="00C94B98" w:rsidRPr="006E04CD">
        <w:rPr>
          <w:rFonts w:ascii="Times New Roman" w:hAnsi="Times New Roman"/>
          <w:b/>
          <w:bCs/>
          <w:lang w:eastAsia="lv-LV"/>
        </w:rPr>
        <w:t>“Prīmuss Marketings”</w:t>
      </w:r>
      <w:r w:rsidR="00C94B98" w:rsidRPr="00EA2F77">
        <w:rPr>
          <w:rFonts w:ascii="Times New Roman" w:hAnsi="Times New Roman"/>
          <w:bCs/>
          <w:lang w:eastAsia="lv-LV"/>
        </w:rPr>
        <w:t xml:space="preserve"> nav saņēmusi, secināms, ka pretendents ir izslēdzams no dalības iepirkumā.</w:t>
      </w:r>
    </w:p>
    <w:p w:rsidR="006E04CD" w:rsidRDefault="00C94B98" w:rsidP="006E04CD">
      <w:pPr>
        <w:spacing w:line="276" w:lineRule="auto"/>
        <w:jc w:val="both"/>
        <w:rPr>
          <w:rFonts w:ascii="Times New Roman" w:hAnsi="Times New Roman"/>
          <w:bCs/>
          <w:lang w:eastAsia="lv-LV"/>
        </w:rPr>
      </w:pPr>
      <w:r w:rsidRPr="00EA2F77">
        <w:rPr>
          <w:rFonts w:ascii="Times New Roman" w:hAnsi="Times New Roman"/>
          <w:bCs/>
          <w:lang w:eastAsia="lv-LV"/>
        </w:rPr>
        <w:t>Ņemot vērā minēto Komisija</w:t>
      </w:r>
      <w:r w:rsidR="006E04CD">
        <w:rPr>
          <w:rFonts w:ascii="Times New Roman" w:hAnsi="Times New Roman"/>
          <w:bCs/>
          <w:lang w:eastAsia="lv-LV"/>
        </w:rPr>
        <w:t xml:space="preserve">, pamatojoties uz </w:t>
      </w:r>
      <w:r w:rsidR="006E04CD" w:rsidRPr="00EA2F77">
        <w:rPr>
          <w:rFonts w:ascii="Times New Roman" w:hAnsi="Times New Roman"/>
          <w:bCs/>
          <w:lang w:eastAsia="lv-LV"/>
        </w:rPr>
        <w:t>Publisko iepirkumu likuma 8.</w:t>
      </w:r>
      <w:r w:rsidR="006E04CD" w:rsidRPr="006E04CD">
        <w:rPr>
          <w:rFonts w:ascii="Times New Roman" w:hAnsi="Times New Roman"/>
          <w:bCs/>
          <w:vertAlign w:val="superscript"/>
          <w:lang w:eastAsia="lv-LV"/>
        </w:rPr>
        <w:t>2</w:t>
      </w:r>
      <w:r w:rsidR="006E04CD" w:rsidRPr="00EA2F77">
        <w:rPr>
          <w:rFonts w:ascii="Times New Roman" w:hAnsi="Times New Roman"/>
          <w:bCs/>
          <w:lang w:eastAsia="lv-LV"/>
        </w:rPr>
        <w:t xml:space="preserve"> panta astotās daļas 2.punktu</w:t>
      </w:r>
      <w:r w:rsidR="0015286B">
        <w:rPr>
          <w:rFonts w:ascii="Times New Roman" w:hAnsi="Times New Roman"/>
          <w:bCs/>
          <w:lang w:eastAsia="lv-LV"/>
        </w:rPr>
        <w:t>, nolemj</w:t>
      </w:r>
      <w:r w:rsidR="006E04CD">
        <w:rPr>
          <w:rFonts w:ascii="Times New Roman" w:hAnsi="Times New Roman"/>
          <w:bCs/>
          <w:lang w:eastAsia="lv-LV"/>
        </w:rPr>
        <w:t xml:space="preserve">, ka </w:t>
      </w:r>
      <w:r w:rsidRPr="00EA2F77">
        <w:rPr>
          <w:rFonts w:ascii="Times New Roman" w:hAnsi="Times New Roman"/>
          <w:bCs/>
          <w:lang w:eastAsia="lv-LV"/>
        </w:rPr>
        <w:t xml:space="preserve">pretendents </w:t>
      </w:r>
      <w:r w:rsidRPr="00540A71">
        <w:rPr>
          <w:rFonts w:ascii="Times New Roman" w:hAnsi="Times New Roman"/>
          <w:b/>
          <w:bCs/>
          <w:lang w:eastAsia="lv-LV"/>
        </w:rPr>
        <w:t>SIA “P</w:t>
      </w:r>
      <w:r w:rsidR="00540A71" w:rsidRPr="00540A71">
        <w:rPr>
          <w:rFonts w:ascii="Times New Roman" w:hAnsi="Times New Roman"/>
          <w:b/>
          <w:bCs/>
          <w:lang w:eastAsia="lv-LV"/>
        </w:rPr>
        <w:t>rīmuss Marketings”</w:t>
      </w:r>
      <w:r w:rsidR="00540A71">
        <w:rPr>
          <w:rFonts w:ascii="Times New Roman" w:hAnsi="Times New Roman"/>
          <w:bCs/>
          <w:lang w:eastAsia="lv-LV"/>
        </w:rPr>
        <w:t xml:space="preserve"> ir </w:t>
      </w:r>
      <w:r w:rsidR="0015286B">
        <w:rPr>
          <w:rFonts w:ascii="Times New Roman" w:hAnsi="Times New Roman"/>
          <w:bCs/>
          <w:lang w:eastAsia="lv-LV"/>
        </w:rPr>
        <w:t>izslēdzams no dalības iepirkumā.</w:t>
      </w:r>
    </w:p>
    <w:p w:rsidR="00C94B98" w:rsidRPr="00EA2F77" w:rsidRDefault="00C94B98" w:rsidP="00064CB6">
      <w:pPr>
        <w:spacing w:before="120" w:line="276" w:lineRule="auto"/>
        <w:jc w:val="both"/>
        <w:rPr>
          <w:rFonts w:ascii="Times New Roman" w:hAnsi="Times New Roman"/>
          <w:bCs/>
          <w:lang w:eastAsia="lv-LV"/>
        </w:rPr>
      </w:pPr>
      <w:r w:rsidRPr="00EA2F77">
        <w:rPr>
          <w:rFonts w:ascii="Times New Roman" w:hAnsi="Times New Roman"/>
          <w:bCs/>
          <w:lang w:eastAsia="lv-LV"/>
        </w:rPr>
        <w:t>[1</w:t>
      </w:r>
      <w:r w:rsidR="00FA6656">
        <w:rPr>
          <w:rFonts w:ascii="Times New Roman" w:hAnsi="Times New Roman"/>
          <w:bCs/>
          <w:lang w:eastAsia="lv-LV"/>
        </w:rPr>
        <w:t>1</w:t>
      </w:r>
      <w:r w:rsidR="006E04CD">
        <w:rPr>
          <w:rFonts w:ascii="Times New Roman" w:hAnsi="Times New Roman"/>
          <w:bCs/>
          <w:lang w:eastAsia="lv-LV"/>
        </w:rPr>
        <w:t>.6</w:t>
      </w:r>
      <w:r w:rsidRPr="00EA2F77">
        <w:rPr>
          <w:rFonts w:ascii="Times New Roman" w:hAnsi="Times New Roman"/>
          <w:bCs/>
          <w:lang w:eastAsia="lv-LV"/>
        </w:rPr>
        <w:t>] Komisija</w:t>
      </w:r>
      <w:r w:rsidR="00064CB6">
        <w:rPr>
          <w:rFonts w:ascii="Times New Roman" w:hAnsi="Times New Roman"/>
          <w:bCs/>
          <w:lang w:eastAsia="lv-LV"/>
        </w:rPr>
        <w:t>,</w:t>
      </w:r>
      <w:r w:rsidRPr="00EA2F77">
        <w:rPr>
          <w:rFonts w:ascii="Times New Roman" w:hAnsi="Times New Roman"/>
          <w:bCs/>
          <w:lang w:eastAsia="lv-LV"/>
        </w:rPr>
        <w:t xml:space="preserve"> vērtējot pretendenta </w:t>
      </w:r>
      <w:r w:rsidRPr="006E04CD">
        <w:rPr>
          <w:rFonts w:ascii="Times New Roman" w:hAnsi="Times New Roman"/>
          <w:b/>
          <w:bCs/>
          <w:lang w:eastAsia="lv-LV"/>
        </w:rPr>
        <w:t>SIA “</w:t>
      </w:r>
      <w:proofErr w:type="spellStart"/>
      <w:r w:rsidR="0080790F">
        <w:rPr>
          <w:rFonts w:ascii="Times New Roman" w:hAnsi="Times New Roman"/>
          <w:b/>
          <w:bCs/>
          <w:lang w:eastAsia="lv-LV"/>
        </w:rPr>
        <w:t>Digibrand</w:t>
      </w:r>
      <w:proofErr w:type="spellEnd"/>
      <w:r w:rsidR="0080790F">
        <w:rPr>
          <w:rFonts w:ascii="Times New Roman" w:hAnsi="Times New Roman"/>
          <w:b/>
          <w:bCs/>
          <w:lang w:eastAsia="lv-LV"/>
        </w:rPr>
        <w:t xml:space="preserve"> </w:t>
      </w:r>
      <w:proofErr w:type="spellStart"/>
      <w:r w:rsidR="0080790F">
        <w:rPr>
          <w:rFonts w:ascii="Times New Roman" w:hAnsi="Times New Roman"/>
          <w:b/>
          <w:bCs/>
          <w:lang w:eastAsia="lv-LV"/>
        </w:rPr>
        <w:t>solutions</w:t>
      </w:r>
      <w:proofErr w:type="spellEnd"/>
      <w:r w:rsidRPr="006E04CD">
        <w:rPr>
          <w:rFonts w:ascii="Times New Roman" w:hAnsi="Times New Roman"/>
          <w:b/>
          <w:bCs/>
          <w:lang w:eastAsia="lv-LV"/>
        </w:rPr>
        <w:t>”</w:t>
      </w:r>
      <w:r w:rsidRPr="00EA2F77">
        <w:rPr>
          <w:rFonts w:ascii="Times New Roman" w:hAnsi="Times New Roman"/>
          <w:bCs/>
          <w:lang w:eastAsia="lv-LV"/>
        </w:rPr>
        <w:t xml:space="preserve"> iesniegtā piedāvājuma par Iepirkuma </w:t>
      </w:r>
      <w:r w:rsidRPr="003C0A2A">
        <w:rPr>
          <w:rFonts w:ascii="Times New Roman" w:hAnsi="Times New Roman"/>
          <w:b/>
          <w:bCs/>
          <w:lang w:eastAsia="lv-LV"/>
        </w:rPr>
        <w:t xml:space="preserve">1. un 2.daļu </w:t>
      </w:r>
      <w:r w:rsidRPr="00EA2F77">
        <w:rPr>
          <w:rFonts w:ascii="Times New Roman" w:hAnsi="Times New Roman"/>
          <w:bCs/>
          <w:lang w:eastAsia="lv-LV"/>
        </w:rPr>
        <w:t>atbilstību nolikumā noteiktajām prasībām un pretendenta atbilstību nolikumā noteiktajām kvalifikācijas prasībām konstatē</w:t>
      </w:r>
      <w:r w:rsidR="00064CB6">
        <w:rPr>
          <w:rFonts w:ascii="Times New Roman" w:hAnsi="Times New Roman"/>
          <w:bCs/>
          <w:lang w:eastAsia="lv-LV"/>
        </w:rPr>
        <w:t>ja</w:t>
      </w:r>
      <w:r w:rsidRPr="00EA2F77">
        <w:rPr>
          <w:rFonts w:ascii="Times New Roman" w:hAnsi="Times New Roman"/>
          <w:bCs/>
          <w:lang w:eastAsia="lv-LV"/>
        </w:rPr>
        <w:t xml:space="preserve">, ka </w:t>
      </w:r>
      <w:r w:rsidR="007D116F">
        <w:rPr>
          <w:rFonts w:ascii="Times New Roman" w:hAnsi="Times New Roman"/>
          <w:bCs/>
          <w:lang w:eastAsia="lv-LV"/>
        </w:rPr>
        <w:t>p</w:t>
      </w:r>
      <w:r w:rsidRPr="00EA2F77">
        <w:rPr>
          <w:rFonts w:ascii="Times New Roman" w:hAnsi="Times New Roman"/>
          <w:bCs/>
          <w:lang w:eastAsia="lv-LV"/>
        </w:rPr>
        <w:t>ersonāla pieredzes aprakstā pretendenta piesaistītā</w:t>
      </w:r>
      <w:r w:rsidR="00A711CE">
        <w:rPr>
          <w:rFonts w:ascii="Times New Roman" w:hAnsi="Times New Roman"/>
          <w:bCs/>
          <w:lang w:eastAsia="lv-LV"/>
        </w:rPr>
        <w:t xml:space="preserve"> speciālista valodu zināšanas atbilst A1 un A2 valodas apguves līmenim</w:t>
      </w:r>
      <w:r w:rsidRPr="00EA2F77">
        <w:rPr>
          <w:rFonts w:ascii="Times New Roman" w:hAnsi="Times New Roman"/>
          <w:bCs/>
          <w:lang w:eastAsia="lv-LV"/>
        </w:rPr>
        <w:t>. Atbilstoši nolikuma 3.2.6.apakšpunktā noteikt</w:t>
      </w:r>
      <w:r w:rsidR="00A711CE">
        <w:rPr>
          <w:rFonts w:ascii="Times New Roman" w:hAnsi="Times New Roman"/>
          <w:bCs/>
          <w:lang w:eastAsia="lv-LV"/>
        </w:rPr>
        <w:t>ajam, pretendenta piesaistītaja</w:t>
      </w:r>
      <w:r w:rsidRPr="00EA2F77">
        <w:rPr>
          <w:rFonts w:ascii="Times New Roman" w:hAnsi="Times New Roman"/>
          <w:bCs/>
          <w:lang w:eastAsia="lv-LV"/>
        </w:rPr>
        <w:t>m personālam jābūt labām latviešu (vismaz B2 līmenis), angļu (vismaz B1 līmenis) un krievu (vismaz B1 līmenis) valodas prasmēm, lai varētu vizualizēt materiālus arī svešvalodā. Atbilstoši Eiropas Padomes valodu līmeņiem, kas aprakstīti “Eiropas kopīgajās pamatnostādnēs valodu apguvei: mācīšanās, mācīšana, vērtēšana” (Eiropas Padome, 2001) valodas vispārējās komunikatīvās kompetences ir aprakstītās sešu līmeņu sistēmā A1, A2, B1, B2, C1, C2, kur A1 ir viszemākais līmenis un C2 – visaugstākais.</w:t>
      </w:r>
      <w:r w:rsidR="00064CB6">
        <w:rPr>
          <w:rFonts w:ascii="Times New Roman" w:hAnsi="Times New Roman"/>
          <w:bCs/>
          <w:lang w:eastAsia="lv-LV"/>
        </w:rPr>
        <w:t xml:space="preserve"> </w:t>
      </w:r>
      <w:r w:rsidRPr="00EA2F77">
        <w:rPr>
          <w:rFonts w:ascii="Times New Roman" w:hAnsi="Times New Roman"/>
          <w:bCs/>
          <w:lang w:eastAsia="lv-LV"/>
        </w:rPr>
        <w:t>Ievērojot minēto konstatējams, ka pretendenta piesaistītais personāls neatbilst nolikumā noteiktajām kvalifikācijas prasībām.</w:t>
      </w:r>
    </w:p>
    <w:p w:rsidR="00C94B98" w:rsidRPr="00EA2F77" w:rsidRDefault="00C94B98" w:rsidP="00064CB6">
      <w:pPr>
        <w:spacing w:line="276" w:lineRule="auto"/>
        <w:jc w:val="both"/>
        <w:rPr>
          <w:rFonts w:ascii="Times New Roman" w:hAnsi="Times New Roman"/>
          <w:bCs/>
          <w:lang w:eastAsia="lv-LV"/>
        </w:rPr>
      </w:pPr>
      <w:r w:rsidRPr="00EA2F77">
        <w:rPr>
          <w:rFonts w:ascii="Times New Roman" w:hAnsi="Times New Roman"/>
          <w:bCs/>
          <w:lang w:eastAsia="lv-LV"/>
        </w:rPr>
        <w:t xml:space="preserve">Ņemot vērā minēto Komisija </w:t>
      </w:r>
      <w:r w:rsidR="00E94B19">
        <w:rPr>
          <w:rFonts w:ascii="Times New Roman" w:hAnsi="Times New Roman"/>
          <w:bCs/>
          <w:lang w:eastAsia="lv-LV"/>
        </w:rPr>
        <w:t>nolemj</w:t>
      </w:r>
      <w:r w:rsidR="00F61CA2">
        <w:rPr>
          <w:rFonts w:ascii="Times New Roman" w:hAnsi="Times New Roman"/>
          <w:bCs/>
          <w:lang w:eastAsia="lv-LV"/>
        </w:rPr>
        <w:t>, ka pretendents</w:t>
      </w:r>
      <w:r w:rsidRPr="00EA2F77">
        <w:rPr>
          <w:rFonts w:ascii="Times New Roman" w:hAnsi="Times New Roman"/>
          <w:bCs/>
          <w:lang w:eastAsia="lv-LV"/>
        </w:rPr>
        <w:t xml:space="preserve"> </w:t>
      </w:r>
      <w:r w:rsidR="0080790F" w:rsidRPr="006E04CD">
        <w:rPr>
          <w:rFonts w:ascii="Times New Roman" w:hAnsi="Times New Roman"/>
          <w:b/>
          <w:bCs/>
          <w:lang w:eastAsia="lv-LV"/>
        </w:rPr>
        <w:t>SIA “</w:t>
      </w:r>
      <w:proofErr w:type="spellStart"/>
      <w:r w:rsidR="0080790F">
        <w:rPr>
          <w:rFonts w:ascii="Times New Roman" w:hAnsi="Times New Roman"/>
          <w:b/>
          <w:bCs/>
          <w:lang w:eastAsia="lv-LV"/>
        </w:rPr>
        <w:t>Digibrand</w:t>
      </w:r>
      <w:proofErr w:type="spellEnd"/>
      <w:r w:rsidR="0080790F">
        <w:rPr>
          <w:rFonts w:ascii="Times New Roman" w:hAnsi="Times New Roman"/>
          <w:b/>
          <w:bCs/>
          <w:lang w:eastAsia="lv-LV"/>
        </w:rPr>
        <w:t xml:space="preserve"> </w:t>
      </w:r>
      <w:proofErr w:type="spellStart"/>
      <w:r w:rsidR="0080790F">
        <w:rPr>
          <w:rFonts w:ascii="Times New Roman" w:hAnsi="Times New Roman"/>
          <w:b/>
          <w:bCs/>
          <w:lang w:eastAsia="lv-LV"/>
        </w:rPr>
        <w:t>solutions</w:t>
      </w:r>
      <w:proofErr w:type="spellEnd"/>
      <w:r w:rsidR="0080790F" w:rsidRPr="006E04CD">
        <w:rPr>
          <w:rFonts w:ascii="Times New Roman" w:hAnsi="Times New Roman"/>
          <w:b/>
          <w:bCs/>
          <w:lang w:eastAsia="lv-LV"/>
        </w:rPr>
        <w:t>”</w:t>
      </w:r>
      <w:r w:rsidRPr="00EA2F77">
        <w:rPr>
          <w:rFonts w:ascii="Times New Roman" w:hAnsi="Times New Roman"/>
          <w:bCs/>
          <w:lang w:eastAsia="lv-LV"/>
        </w:rPr>
        <w:t xml:space="preserve"> ir noraidāms.</w:t>
      </w:r>
    </w:p>
    <w:p w:rsidR="00B447D3" w:rsidRPr="00B447D3" w:rsidRDefault="00B447D3" w:rsidP="00C202C1">
      <w:pPr>
        <w:pStyle w:val="ListParagraph"/>
        <w:numPr>
          <w:ilvl w:val="0"/>
          <w:numId w:val="3"/>
        </w:numPr>
        <w:spacing w:before="120" w:line="276" w:lineRule="auto"/>
        <w:ind w:left="357" w:hanging="357"/>
        <w:jc w:val="both"/>
        <w:rPr>
          <w:rFonts w:ascii="Times New Roman" w:eastAsia="Times New Roman" w:hAnsi="Times New Roman"/>
          <w:b/>
          <w:bCs/>
          <w:lang w:eastAsia="lv-LV"/>
        </w:rPr>
      </w:pPr>
      <w:r w:rsidRPr="00B447D3">
        <w:rPr>
          <w:rFonts w:ascii="Times New Roman" w:eastAsia="Times New Roman" w:hAnsi="Times New Roman"/>
          <w:b/>
          <w:bCs/>
          <w:lang w:eastAsia="lv-LV"/>
        </w:rPr>
        <w:t>Par uzvarētāju noteiktā pretendenta salīdzinošās priekšrocības:</w:t>
      </w:r>
    </w:p>
    <w:p w:rsidR="00EF21AD" w:rsidRPr="00C202C1" w:rsidRDefault="00EF21AD" w:rsidP="00C202C1">
      <w:pPr>
        <w:spacing w:before="60" w:line="276" w:lineRule="auto"/>
        <w:jc w:val="both"/>
        <w:rPr>
          <w:rFonts w:ascii="Times New Roman" w:eastAsia="Times New Roman" w:hAnsi="Times New Roman"/>
          <w:b/>
          <w:bCs/>
          <w:lang w:eastAsia="lv-LV"/>
        </w:rPr>
      </w:pPr>
      <w:r w:rsidRPr="00C202C1">
        <w:rPr>
          <w:rFonts w:ascii="Times New Roman" w:eastAsia="Times New Roman" w:hAnsi="Times New Roman"/>
          <w:b/>
          <w:bCs/>
          <w:lang w:eastAsia="lv-LV"/>
        </w:rPr>
        <w:t>Iepirkuma 1.daļa:</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356"/>
        <w:gridCol w:w="1843"/>
        <w:gridCol w:w="1224"/>
        <w:gridCol w:w="1753"/>
        <w:gridCol w:w="1349"/>
      </w:tblGrid>
      <w:tr w:rsidR="00EF21AD" w:rsidRPr="00EF21AD" w:rsidTr="00761CFD">
        <w:trPr>
          <w:trHeight w:val="319"/>
        </w:trPr>
        <w:tc>
          <w:tcPr>
            <w:tcW w:w="616" w:type="dxa"/>
            <w:tcBorders>
              <w:top w:val="single" w:sz="4" w:space="0" w:color="auto"/>
              <w:left w:val="single" w:sz="4" w:space="0" w:color="auto"/>
              <w:bottom w:val="single" w:sz="4" w:space="0" w:color="auto"/>
              <w:right w:val="single" w:sz="4" w:space="0" w:color="auto"/>
            </w:tcBorders>
            <w:hideMark/>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Nr. </w:t>
            </w:r>
          </w:p>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p.k.</w:t>
            </w:r>
          </w:p>
        </w:tc>
        <w:tc>
          <w:tcPr>
            <w:tcW w:w="2356" w:type="dxa"/>
            <w:tcBorders>
              <w:top w:val="single" w:sz="4" w:space="0" w:color="auto"/>
              <w:left w:val="single" w:sz="4" w:space="0" w:color="auto"/>
              <w:bottom w:val="single" w:sz="4" w:space="0" w:color="auto"/>
              <w:right w:val="single" w:sz="4" w:space="0" w:color="auto"/>
            </w:tcBorders>
            <w:hideMark/>
          </w:tcPr>
          <w:p w:rsidR="00EF21AD" w:rsidRPr="00EF21AD" w:rsidRDefault="00EF21AD" w:rsidP="001955FF">
            <w:pPr>
              <w:pStyle w:val="BodyText"/>
              <w:spacing w:line="256" w:lineRule="auto"/>
              <w:jc w:val="center"/>
              <w:rPr>
                <w:b/>
                <w:szCs w:val="24"/>
              </w:rPr>
            </w:pPr>
            <w:r w:rsidRPr="00EF21AD">
              <w:rPr>
                <w:b/>
                <w:szCs w:val="24"/>
              </w:rPr>
              <w:t xml:space="preserve">Pretendenti </w:t>
            </w:r>
          </w:p>
          <w:p w:rsidR="00EF21AD" w:rsidRPr="00EF21AD" w:rsidRDefault="00EF21AD" w:rsidP="001955FF">
            <w:pPr>
              <w:pStyle w:val="BodyText"/>
              <w:spacing w:line="256" w:lineRule="auto"/>
              <w:jc w:val="center"/>
              <w:rPr>
                <w:b/>
                <w:szCs w:val="24"/>
              </w:rPr>
            </w:pPr>
            <w:r w:rsidRPr="00EF21AD">
              <w:rPr>
                <w:b/>
                <w:szCs w:val="24"/>
              </w:rPr>
              <w:t>(nosaukums)</w:t>
            </w:r>
          </w:p>
        </w:tc>
        <w:tc>
          <w:tcPr>
            <w:tcW w:w="1843"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Piedāvātā cena EUR bez PVN</w:t>
            </w:r>
          </w:p>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1.daļa</w:t>
            </w:r>
          </w:p>
        </w:tc>
        <w:tc>
          <w:tcPr>
            <w:tcW w:w="1224"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Punkti par cenu (C)</w:t>
            </w:r>
          </w:p>
        </w:tc>
        <w:tc>
          <w:tcPr>
            <w:tcW w:w="1753"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Punkti kvalitatīvajā vērtēšanā (Q)</w:t>
            </w:r>
          </w:p>
        </w:tc>
        <w:tc>
          <w:tcPr>
            <w:tcW w:w="1349"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Punkti kopā (V)</w:t>
            </w:r>
          </w:p>
          <w:p w:rsidR="00EF21AD" w:rsidRPr="00EF21AD" w:rsidRDefault="00EF21AD" w:rsidP="001955FF">
            <w:pPr>
              <w:spacing w:line="256" w:lineRule="auto"/>
              <w:jc w:val="center"/>
              <w:outlineLvl w:val="0"/>
              <w:rPr>
                <w:rFonts w:ascii="Times New Roman" w:hAnsi="Times New Roman"/>
                <w:b/>
                <w:vertAlign w:val="superscript"/>
              </w:rPr>
            </w:pPr>
            <w:r w:rsidRPr="00EF21AD">
              <w:rPr>
                <w:rFonts w:ascii="Times New Roman" w:hAnsi="Times New Roman"/>
                <w:b/>
              </w:rPr>
              <w:t>V=C+Q</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1.</w:t>
            </w:r>
          </w:p>
        </w:tc>
        <w:tc>
          <w:tcPr>
            <w:tcW w:w="2356" w:type="dxa"/>
            <w:tcBorders>
              <w:top w:val="single" w:sz="4" w:space="0" w:color="auto"/>
              <w:left w:val="single" w:sz="4" w:space="0" w:color="auto"/>
              <w:bottom w:val="single" w:sz="4" w:space="0" w:color="auto"/>
              <w:right w:val="single" w:sz="4" w:space="0" w:color="auto"/>
            </w:tcBorders>
            <w:vAlign w:val="center"/>
            <w:hideMark/>
          </w:tcPr>
          <w:p w:rsidR="00EF21AD" w:rsidRPr="00EF21AD" w:rsidRDefault="00EF21AD" w:rsidP="001955FF">
            <w:pPr>
              <w:pStyle w:val="BodyText"/>
              <w:spacing w:line="256" w:lineRule="auto"/>
              <w:jc w:val="center"/>
              <w:rPr>
                <w:b/>
                <w:szCs w:val="24"/>
              </w:rPr>
            </w:pPr>
            <w:r w:rsidRPr="00EF21AD">
              <w:rPr>
                <w:b/>
                <w:szCs w:val="24"/>
              </w:rPr>
              <w:t>SIA “BMH”</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40,00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12,5</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45</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57,5</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w:t>
            </w:r>
          </w:p>
        </w:tc>
        <w:tc>
          <w:tcPr>
            <w:tcW w:w="2356" w:type="dxa"/>
            <w:tcBorders>
              <w:top w:val="single" w:sz="4" w:space="0" w:color="auto"/>
              <w:left w:val="single" w:sz="4" w:space="0" w:color="auto"/>
              <w:bottom w:val="single" w:sz="4" w:space="0" w:color="auto"/>
              <w:right w:val="single" w:sz="4" w:space="0" w:color="auto"/>
            </w:tcBorders>
            <w:vAlign w:val="center"/>
            <w:hideMark/>
          </w:tcPr>
          <w:p w:rsidR="00EF21AD" w:rsidRPr="00EF21AD" w:rsidRDefault="00EF21AD" w:rsidP="001955FF">
            <w:pPr>
              <w:pStyle w:val="BodyText"/>
              <w:spacing w:line="256" w:lineRule="auto"/>
              <w:jc w:val="center"/>
              <w:rPr>
                <w:b/>
                <w:szCs w:val="24"/>
              </w:rPr>
            </w:pPr>
            <w:r w:rsidRPr="00EF21AD">
              <w:rPr>
                <w:b/>
                <w:szCs w:val="24"/>
              </w:rPr>
              <w:t>SIA “CIMO”</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10,00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50</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25</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75</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3.</w:t>
            </w:r>
          </w:p>
        </w:tc>
        <w:tc>
          <w:tcPr>
            <w:tcW w:w="2356"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pStyle w:val="BodyText"/>
              <w:spacing w:line="256" w:lineRule="auto"/>
              <w:jc w:val="center"/>
              <w:rPr>
                <w:b/>
                <w:szCs w:val="24"/>
              </w:rPr>
            </w:pPr>
            <w:r w:rsidRPr="00EF21AD">
              <w:rPr>
                <w:b/>
                <w:szCs w:val="24"/>
              </w:rPr>
              <w:t>SIA “</w:t>
            </w:r>
            <w:proofErr w:type="spellStart"/>
            <w:r w:rsidRPr="00EF21AD">
              <w:rPr>
                <w:b/>
                <w:szCs w:val="24"/>
              </w:rPr>
              <w:t>Associates</w:t>
            </w:r>
            <w:proofErr w:type="spellEnd"/>
            <w:r w:rsidRPr="00EF21AD">
              <w:rPr>
                <w:b/>
                <w:szCs w:val="24"/>
              </w:rPr>
              <w:t xml:space="preserve">, </w:t>
            </w:r>
            <w:proofErr w:type="spellStart"/>
            <w:r w:rsidRPr="00EF21AD">
              <w:rPr>
                <w:b/>
                <w:szCs w:val="24"/>
              </w:rPr>
              <w:t>Partners</w:t>
            </w:r>
            <w:proofErr w:type="spellEnd"/>
            <w:r w:rsidRPr="00EF21AD">
              <w:rPr>
                <w:b/>
                <w:szCs w:val="24"/>
              </w:rPr>
              <w:t xml:space="preserve"> </w:t>
            </w:r>
            <w:proofErr w:type="spellStart"/>
            <w:r w:rsidRPr="00EF21AD">
              <w:rPr>
                <w:b/>
                <w:szCs w:val="24"/>
              </w:rPr>
              <w:t>et</w:t>
            </w:r>
            <w:proofErr w:type="spellEnd"/>
            <w:r w:rsidRPr="00EF21AD">
              <w:rPr>
                <w:b/>
                <w:szCs w:val="24"/>
              </w:rPr>
              <w:t xml:space="preserve"> </w:t>
            </w:r>
            <w:proofErr w:type="spellStart"/>
            <w:r w:rsidRPr="00EF21AD">
              <w:rPr>
                <w:b/>
                <w:szCs w:val="24"/>
              </w:rPr>
              <w:t>Sons</w:t>
            </w:r>
            <w:proofErr w:type="spellEnd"/>
            <w:r w:rsidRPr="00EF21AD">
              <w:rPr>
                <w:b/>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17,50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28,57</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45</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73,57</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w:t>
            </w:r>
          </w:p>
        </w:tc>
        <w:tc>
          <w:tcPr>
            <w:tcW w:w="2356"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pStyle w:val="BodyText"/>
              <w:spacing w:line="256" w:lineRule="auto"/>
              <w:jc w:val="center"/>
              <w:rPr>
                <w:b/>
                <w:szCs w:val="24"/>
              </w:rPr>
            </w:pPr>
            <w:r w:rsidRPr="00EF21AD">
              <w:rPr>
                <w:b/>
                <w:szCs w:val="24"/>
              </w:rPr>
              <w:t xml:space="preserve">SIA “ESM </w:t>
            </w:r>
            <w:proofErr w:type="spellStart"/>
            <w:r w:rsidRPr="00EF21AD">
              <w:rPr>
                <w:b/>
                <w:szCs w:val="24"/>
              </w:rPr>
              <w:t>Group</w:t>
            </w:r>
            <w:proofErr w:type="spellEnd"/>
            <w:r w:rsidRPr="00EF21AD">
              <w:rPr>
                <w:b/>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20,00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25</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30</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55</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5.</w:t>
            </w:r>
          </w:p>
        </w:tc>
        <w:tc>
          <w:tcPr>
            <w:tcW w:w="2356"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pStyle w:val="BodyText"/>
              <w:spacing w:line="256" w:lineRule="auto"/>
              <w:jc w:val="center"/>
              <w:rPr>
                <w:b/>
                <w:szCs w:val="24"/>
              </w:rPr>
            </w:pPr>
            <w:r w:rsidRPr="00EF21AD">
              <w:rPr>
                <w:b/>
                <w:szCs w:val="24"/>
              </w:rPr>
              <w:t>SIA “</w:t>
            </w:r>
            <w:proofErr w:type="spellStart"/>
            <w:r w:rsidRPr="00EF21AD">
              <w:rPr>
                <w:b/>
                <w:szCs w:val="24"/>
              </w:rPr>
              <w:t>Triple</w:t>
            </w:r>
            <w:proofErr w:type="spellEnd"/>
            <w:r w:rsidRPr="00EF21AD">
              <w:rPr>
                <w:b/>
                <w:szCs w:val="24"/>
              </w:rPr>
              <w:t xml:space="preserve"> </w:t>
            </w:r>
            <w:proofErr w:type="spellStart"/>
            <w:r w:rsidRPr="00EF21AD">
              <w:rPr>
                <w:b/>
                <w:szCs w:val="24"/>
              </w:rPr>
              <w:t>Bounce</w:t>
            </w:r>
            <w:proofErr w:type="spellEnd"/>
            <w:r w:rsidRPr="00EF21AD">
              <w:rPr>
                <w:b/>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70,00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7,14</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30</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37,14</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6.</w:t>
            </w:r>
          </w:p>
        </w:tc>
        <w:tc>
          <w:tcPr>
            <w:tcW w:w="2356"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pStyle w:val="BodyText"/>
              <w:spacing w:line="256" w:lineRule="auto"/>
              <w:jc w:val="center"/>
              <w:rPr>
                <w:b/>
                <w:szCs w:val="24"/>
              </w:rPr>
            </w:pPr>
            <w:r w:rsidRPr="00EF21AD">
              <w:rPr>
                <w:b/>
                <w:szCs w:val="24"/>
              </w:rPr>
              <w:t>SIA “</w:t>
            </w:r>
            <w:proofErr w:type="spellStart"/>
            <w:r w:rsidRPr="00EF21AD">
              <w:rPr>
                <w:b/>
                <w:szCs w:val="24"/>
              </w:rPr>
              <w:t>Bright</w:t>
            </w:r>
            <w:proofErr w:type="spellEnd"/>
            <w:r w:rsidRPr="00EF21AD">
              <w:rPr>
                <w:b/>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25,00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20</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25</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45</w:t>
            </w:r>
          </w:p>
        </w:tc>
      </w:tr>
      <w:tr w:rsidR="00EF21AD" w:rsidRPr="00EF21AD" w:rsidTr="00761CFD">
        <w:trPr>
          <w:trHeight w:val="454"/>
        </w:trPr>
        <w:tc>
          <w:tcPr>
            <w:tcW w:w="616" w:type="dxa"/>
            <w:tcBorders>
              <w:top w:val="single" w:sz="4" w:space="0" w:color="auto"/>
              <w:left w:val="single" w:sz="4" w:space="0" w:color="auto"/>
              <w:bottom w:val="single" w:sz="4" w:space="0" w:color="auto"/>
              <w:right w:val="single" w:sz="4" w:space="0" w:color="auto"/>
            </w:tcBorders>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w:t>
            </w:r>
          </w:p>
        </w:tc>
        <w:tc>
          <w:tcPr>
            <w:tcW w:w="2356"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pStyle w:val="BodyText"/>
              <w:spacing w:line="256" w:lineRule="auto"/>
              <w:jc w:val="center"/>
              <w:rPr>
                <w:b/>
                <w:szCs w:val="24"/>
              </w:rPr>
            </w:pPr>
            <w:r w:rsidRPr="00EF21AD">
              <w:rPr>
                <w:b/>
                <w:szCs w:val="24"/>
              </w:rPr>
              <w:t>SIA “OZOLS IR”</w:t>
            </w:r>
          </w:p>
        </w:tc>
        <w:tc>
          <w:tcPr>
            <w:tcW w:w="184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20,00</w:t>
            </w:r>
          </w:p>
        </w:tc>
        <w:tc>
          <w:tcPr>
            <w:tcW w:w="1224"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25</w:t>
            </w:r>
          </w:p>
        </w:tc>
        <w:tc>
          <w:tcPr>
            <w:tcW w:w="1753"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45</w:t>
            </w:r>
          </w:p>
        </w:tc>
        <w:tc>
          <w:tcPr>
            <w:tcW w:w="1349" w:type="dxa"/>
            <w:tcBorders>
              <w:top w:val="single" w:sz="4" w:space="0" w:color="auto"/>
              <w:left w:val="single" w:sz="4" w:space="0" w:color="auto"/>
              <w:bottom w:val="single" w:sz="4" w:space="0" w:color="auto"/>
              <w:right w:val="single" w:sz="4" w:space="0" w:color="auto"/>
            </w:tcBorders>
            <w:vAlign w:val="center"/>
          </w:tcPr>
          <w:p w:rsidR="00EF21AD" w:rsidRPr="00EF21AD" w:rsidRDefault="00EF21AD" w:rsidP="001955FF">
            <w:pPr>
              <w:spacing w:line="256" w:lineRule="auto"/>
              <w:jc w:val="center"/>
              <w:outlineLvl w:val="0"/>
              <w:rPr>
                <w:rFonts w:ascii="Times New Roman" w:hAnsi="Times New Roman"/>
                <w:b/>
              </w:rPr>
            </w:pPr>
            <w:r w:rsidRPr="00EF21AD">
              <w:rPr>
                <w:rFonts w:ascii="Times New Roman" w:hAnsi="Times New Roman"/>
                <w:b/>
              </w:rPr>
              <w:t>70</w:t>
            </w:r>
          </w:p>
        </w:tc>
      </w:tr>
    </w:tbl>
    <w:p w:rsidR="00B447D3" w:rsidRDefault="00EF21AD" w:rsidP="00C202C1">
      <w:pPr>
        <w:spacing w:before="120" w:line="276" w:lineRule="auto"/>
        <w:jc w:val="both"/>
        <w:rPr>
          <w:rFonts w:ascii="Times New Roman" w:eastAsia="Times New Roman" w:hAnsi="Times New Roman"/>
          <w:b/>
          <w:bCs/>
          <w:lang w:eastAsia="lv-LV"/>
        </w:rPr>
      </w:pPr>
      <w:r>
        <w:rPr>
          <w:rFonts w:ascii="Times New Roman" w:eastAsia="Times New Roman" w:hAnsi="Times New Roman"/>
          <w:b/>
          <w:bCs/>
          <w:lang w:eastAsia="lv-LV"/>
        </w:rPr>
        <w:t>Iepirkuma 2.daļa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360"/>
        <w:gridCol w:w="1783"/>
        <w:gridCol w:w="1336"/>
        <w:gridCol w:w="1655"/>
        <w:gridCol w:w="1463"/>
      </w:tblGrid>
      <w:tr w:rsidR="0087307F" w:rsidRPr="0087307F" w:rsidTr="00761CFD">
        <w:trPr>
          <w:trHeight w:val="319"/>
        </w:trPr>
        <w:tc>
          <w:tcPr>
            <w:tcW w:w="617" w:type="dxa"/>
            <w:tcBorders>
              <w:top w:val="single" w:sz="4" w:space="0" w:color="auto"/>
              <w:left w:val="single" w:sz="4" w:space="0" w:color="auto"/>
              <w:bottom w:val="single" w:sz="4" w:space="0" w:color="auto"/>
              <w:right w:val="single" w:sz="4" w:space="0" w:color="auto"/>
            </w:tcBorders>
            <w:hideMark/>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Nr. </w:t>
            </w:r>
          </w:p>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p.k.</w:t>
            </w:r>
          </w:p>
        </w:tc>
        <w:tc>
          <w:tcPr>
            <w:tcW w:w="2360" w:type="dxa"/>
            <w:tcBorders>
              <w:top w:val="single" w:sz="4" w:space="0" w:color="auto"/>
              <w:left w:val="single" w:sz="4" w:space="0" w:color="auto"/>
              <w:bottom w:val="single" w:sz="4" w:space="0" w:color="auto"/>
              <w:right w:val="single" w:sz="4" w:space="0" w:color="auto"/>
            </w:tcBorders>
            <w:hideMark/>
          </w:tcPr>
          <w:p w:rsidR="0087307F" w:rsidRPr="0087307F" w:rsidRDefault="0087307F" w:rsidP="001955FF">
            <w:pPr>
              <w:pStyle w:val="BodyText"/>
              <w:spacing w:line="256" w:lineRule="auto"/>
              <w:jc w:val="center"/>
              <w:rPr>
                <w:b/>
                <w:szCs w:val="24"/>
              </w:rPr>
            </w:pPr>
            <w:r w:rsidRPr="0087307F">
              <w:rPr>
                <w:b/>
                <w:szCs w:val="24"/>
              </w:rPr>
              <w:t xml:space="preserve">Pretendenti </w:t>
            </w:r>
          </w:p>
          <w:p w:rsidR="0087307F" w:rsidRPr="0087307F" w:rsidRDefault="0087307F" w:rsidP="001955FF">
            <w:pPr>
              <w:pStyle w:val="BodyText"/>
              <w:spacing w:line="256" w:lineRule="auto"/>
              <w:jc w:val="center"/>
              <w:rPr>
                <w:b/>
                <w:szCs w:val="24"/>
              </w:rPr>
            </w:pPr>
            <w:r w:rsidRPr="0087307F">
              <w:rPr>
                <w:b/>
                <w:szCs w:val="24"/>
              </w:rPr>
              <w:t>(nosaukums)</w:t>
            </w:r>
          </w:p>
        </w:tc>
        <w:tc>
          <w:tcPr>
            <w:tcW w:w="1783" w:type="dxa"/>
            <w:tcBorders>
              <w:top w:val="single" w:sz="4" w:space="0" w:color="auto"/>
              <w:left w:val="single" w:sz="4" w:space="0" w:color="auto"/>
              <w:bottom w:val="single" w:sz="4" w:space="0" w:color="auto"/>
              <w:right w:val="single" w:sz="4" w:space="0" w:color="auto"/>
            </w:tcBorders>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Piedāvātā cena EUR bez PVN</w:t>
            </w:r>
          </w:p>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2.daļa</w:t>
            </w:r>
          </w:p>
        </w:tc>
        <w:tc>
          <w:tcPr>
            <w:tcW w:w="1336" w:type="dxa"/>
            <w:tcBorders>
              <w:top w:val="single" w:sz="4" w:space="0" w:color="auto"/>
              <w:left w:val="single" w:sz="4" w:space="0" w:color="auto"/>
              <w:bottom w:val="single" w:sz="4" w:space="0" w:color="auto"/>
              <w:right w:val="single" w:sz="4" w:space="0" w:color="auto"/>
            </w:tcBorders>
          </w:tcPr>
          <w:p w:rsidR="0087307F" w:rsidRPr="0087307F" w:rsidRDefault="0087307F" w:rsidP="001955FF">
            <w:pPr>
              <w:spacing w:line="256" w:lineRule="auto"/>
              <w:jc w:val="center"/>
              <w:outlineLvl w:val="0"/>
              <w:rPr>
                <w:rFonts w:ascii="Times New Roman" w:hAnsi="Times New Roman"/>
                <w:b/>
              </w:rPr>
            </w:pPr>
            <w:r>
              <w:rPr>
                <w:rFonts w:ascii="Times New Roman" w:hAnsi="Times New Roman"/>
                <w:b/>
              </w:rPr>
              <w:t>P</w:t>
            </w:r>
            <w:r w:rsidRPr="0087307F">
              <w:rPr>
                <w:rFonts w:ascii="Times New Roman" w:hAnsi="Times New Roman"/>
                <w:b/>
              </w:rPr>
              <w:t xml:space="preserve">unkti par cenu </w:t>
            </w:r>
          </w:p>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(C)</w:t>
            </w:r>
          </w:p>
        </w:tc>
        <w:tc>
          <w:tcPr>
            <w:tcW w:w="1655" w:type="dxa"/>
            <w:tcBorders>
              <w:top w:val="single" w:sz="4" w:space="0" w:color="auto"/>
              <w:left w:val="single" w:sz="4" w:space="0" w:color="auto"/>
              <w:bottom w:val="single" w:sz="4" w:space="0" w:color="auto"/>
              <w:right w:val="single" w:sz="4" w:space="0" w:color="auto"/>
            </w:tcBorders>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Punkti kvalitatīvajā vērtēšanā (Q)</w:t>
            </w:r>
          </w:p>
        </w:tc>
        <w:tc>
          <w:tcPr>
            <w:tcW w:w="1463" w:type="dxa"/>
            <w:tcBorders>
              <w:top w:val="single" w:sz="4" w:space="0" w:color="auto"/>
              <w:left w:val="single" w:sz="4" w:space="0" w:color="auto"/>
              <w:bottom w:val="single" w:sz="4" w:space="0" w:color="auto"/>
              <w:right w:val="single" w:sz="4" w:space="0" w:color="auto"/>
            </w:tcBorders>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Punkti kopā (V)</w:t>
            </w:r>
          </w:p>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V=C+Q</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w:t>
            </w:r>
          </w:p>
        </w:tc>
        <w:tc>
          <w:tcPr>
            <w:tcW w:w="2360" w:type="dxa"/>
            <w:tcBorders>
              <w:top w:val="single" w:sz="4" w:space="0" w:color="auto"/>
              <w:left w:val="single" w:sz="4" w:space="0" w:color="auto"/>
              <w:bottom w:val="single" w:sz="4" w:space="0" w:color="auto"/>
              <w:right w:val="single" w:sz="4" w:space="0" w:color="auto"/>
            </w:tcBorders>
            <w:vAlign w:val="center"/>
            <w:hideMark/>
          </w:tcPr>
          <w:p w:rsidR="0087307F" w:rsidRPr="0087307F" w:rsidRDefault="0087307F" w:rsidP="001955FF">
            <w:pPr>
              <w:pStyle w:val="BodyText"/>
              <w:spacing w:line="256" w:lineRule="auto"/>
              <w:jc w:val="center"/>
              <w:rPr>
                <w:b/>
                <w:szCs w:val="24"/>
              </w:rPr>
            </w:pPr>
            <w:r w:rsidRPr="0087307F">
              <w:rPr>
                <w:b/>
                <w:szCs w:val="24"/>
              </w:rPr>
              <w:t>SIA “BMH”</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370,00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29,73</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79,73</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2.</w:t>
            </w:r>
          </w:p>
        </w:tc>
        <w:tc>
          <w:tcPr>
            <w:tcW w:w="2360" w:type="dxa"/>
            <w:tcBorders>
              <w:top w:val="single" w:sz="4" w:space="0" w:color="auto"/>
              <w:left w:val="single" w:sz="4" w:space="0" w:color="auto"/>
              <w:bottom w:val="single" w:sz="4" w:space="0" w:color="auto"/>
              <w:right w:val="single" w:sz="4" w:space="0" w:color="auto"/>
            </w:tcBorders>
            <w:vAlign w:val="center"/>
            <w:hideMark/>
          </w:tcPr>
          <w:p w:rsidR="0087307F" w:rsidRPr="0087307F" w:rsidRDefault="0087307F" w:rsidP="001955FF">
            <w:pPr>
              <w:pStyle w:val="BodyText"/>
              <w:spacing w:line="256" w:lineRule="auto"/>
              <w:jc w:val="center"/>
              <w:rPr>
                <w:b/>
                <w:szCs w:val="24"/>
              </w:rPr>
            </w:pPr>
            <w:r w:rsidRPr="0087307F">
              <w:rPr>
                <w:b/>
                <w:szCs w:val="24"/>
              </w:rPr>
              <w:t>SIA “CIMO”</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220,00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32</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82</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3.</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w:t>
            </w:r>
            <w:proofErr w:type="spellStart"/>
            <w:r w:rsidRPr="0087307F">
              <w:rPr>
                <w:b/>
                <w:szCs w:val="24"/>
              </w:rPr>
              <w:t>Associates</w:t>
            </w:r>
            <w:proofErr w:type="spellEnd"/>
            <w:r w:rsidRPr="0087307F">
              <w:rPr>
                <w:b/>
                <w:szCs w:val="24"/>
              </w:rPr>
              <w:t xml:space="preserve">, </w:t>
            </w:r>
            <w:proofErr w:type="spellStart"/>
            <w:r w:rsidRPr="0087307F">
              <w:rPr>
                <w:b/>
                <w:szCs w:val="24"/>
              </w:rPr>
              <w:t>Partners</w:t>
            </w:r>
            <w:proofErr w:type="spellEnd"/>
            <w:r w:rsidRPr="0087307F">
              <w:rPr>
                <w:b/>
                <w:szCs w:val="24"/>
              </w:rPr>
              <w:t xml:space="preserve"> </w:t>
            </w:r>
            <w:proofErr w:type="spellStart"/>
            <w:r w:rsidRPr="0087307F">
              <w:rPr>
                <w:b/>
                <w:szCs w:val="24"/>
              </w:rPr>
              <w:t>et</w:t>
            </w:r>
            <w:proofErr w:type="spellEnd"/>
            <w:r w:rsidRPr="0087307F">
              <w:rPr>
                <w:b/>
                <w:szCs w:val="24"/>
              </w:rPr>
              <w:t xml:space="preserve"> </w:t>
            </w:r>
            <w:proofErr w:type="spellStart"/>
            <w:r w:rsidRPr="0087307F">
              <w:rPr>
                <w:b/>
                <w:szCs w:val="24"/>
              </w:rPr>
              <w:t>Sons</w:t>
            </w:r>
            <w:proofErr w:type="spellEnd"/>
            <w:r w:rsidRPr="0087307F">
              <w:rPr>
                <w:b/>
                <w:szCs w:val="24"/>
              </w:rPr>
              <w:t>”</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610,00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18,03</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68,03</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4.</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“Base.lv”</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725,00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15,17</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65,17</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 xml:space="preserve">SIA “ESM </w:t>
            </w:r>
            <w:proofErr w:type="spellStart"/>
            <w:r w:rsidRPr="0087307F">
              <w:rPr>
                <w:b/>
                <w:szCs w:val="24"/>
              </w:rPr>
              <w:t>Group</w:t>
            </w:r>
            <w:proofErr w:type="spellEnd"/>
            <w:r w:rsidRPr="0087307F">
              <w:rPr>
                <w:b/>
                <w:szCs w:val="24"/>
              </w:rPr>
              <w:t>”</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440,00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25</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75</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“E-FORMA”</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755,00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14.57</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64,57</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w:t>
            </w:r>
            <w:proofErr w:type="spellStart"/>
            <w:r w:rsidRPr="0087307F">
              <w:rPr>
                <w:b/>
                <w:szCs w:val="24"/>
              </w:rPr>
              <w:t>Triple</w:t>
            </w:r>
            <w:proofErr w:type="spellEnd"/>
            <w:r w:rsidRPr="0087307F">
              <w:rPr>
                <w:b/>
                <w:szCs w:val="24"/>
              </w:rPr>
              <w:t xml:space="preserve"> </w:t>
            </w:r>
            <w:proofErr w:type="spellStart"/>
            <w:r w:rsidRPr="0087307F">
              <w:rPr>
                <w:b/>
                <w:szCs w:val="24"/>
              </w:rPr>
              <w:t>Bounce</w:t>
            </w:r>
            <w:proofErr w:type="spellEnd"/>
            <w:r w:rsidRPr="0087307F">
              <w:rPr>
                <w:b/>
                <w:szCs w:val="24"/>
              </w:rPr>
              <w:t>”</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1290,00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8,53</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58,53</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8.</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w:t>
            </w:r>
            <w:proofErr w:type="spellStart"/>
            <w:r w:rsidRPr="0087307F">
              <w:rPr>
                <w:b/>
                <w:szCs w:val="24"/>
              </w:rPr>
              <w:t>Bright</w:t>
            </w:r>
            <w:proofErr w:type="spellEnd"/>
            <w:r w:rsidRPr="0087307F">
              <w:rPr>
                <w:b/>
                <w:szCs w:val="24"/>
              </w:rPr>
              <w:t>”</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591,00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18,61</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68,61</w:t>
            </w:r>
          </w:p>
        </w:tc>
      </w:tr>
      <w:tr w:rsidR="0087307F" w:rsidRPr="0087307F" w:rsidTr="00761CFD">
        <w:trPr>
          <w:trHeight w:val="454"/>
        </w:trPr>
        <w:tc>
          <w:tcPr>
            <w:tcW w:w="617"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9.</w:t>
            </w:r>
          </w:p>
        </w:tc>
        <w:tc>
          <w:tcPr>
            <w:tcW w:w="2360"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pStyle w:val="BodyText"/>
              <w:spacing w:line="256" w:lineRule="auto"/>
              <w:jc w:val="center"/>
              <w:rPr>
                <w:b/>
                <w:szCs w:val="24"/>
              </w:rPr>
            </w:pPr>
            <w:r w:rsidRPr="0087307F">
              <w:rPr>
                <w:b/>
                <w:szCs w:val="24"/>
              </w:rPr>
              <w:t>SIA “OZOLS IR”</w:t>
            </w:r>
          </w:p>
        </w:tc>
        <w:tc>
          <w:tcPr>
            <w:tcW w:w="178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770,00</w:t>
            </w:r>
          </w:p>
        </w:tc>
        <w:tc>
          <w:tcPr>
            <w:tcW w:w="1336"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14,29</w:t>
            </w:r>
          </w:p>
        </w:tc>
        <w:tc>
          <w:tcPr>
            <w:tcW w:w="1655"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50</w:t>
            </w:r>
          </w:p>
        </w:tc>
        <w:tc>
          <w:tcPr>
            <w:tcW w:w="1463" w:type="dxa"/>
            <w:tcBorders>
              <w:top w:val="single" w:sz="4" w:space="0" w:color="auto"/>
              <w:left w:val="single" w:sz="4" w:space="0" w:color="auto"/>
              <w:bottom w:val="single" w:sz="4" w:space="0" w:color="auto"/>
              <w:right w:val="single" w:sz="4" w:space="0" w:color="auto"/>
            </w:tcBorders>
            <w:vAlign w:val="center"/>
          </w:tcPr>
          <w:p w:rsidR="0087307F" w:rsidRPr="0087307F" w:rsidRDefault="0087307F" w:rsidP="001955FF">
            <w:pPr>
              <w:spacing w:line="256" w:lineRule="auto"/>
              <w:jc w:val="center"/>
              <w:outlineLvl w:val="0"/>
              <w:rPr>
                <w:rFonts w:ascii="Times New Roman" w:hAnsi="Times New Roman"/>
                <w:b/>
              </w:rPr>
            </w:pPr>
            <w:r w:rsidRPr="0087307F">
              <w:rPr>
                <w:rFonts w:ascii="Times New Roman" w:hAnsi="Times New Roman"/>
                <w:b/>
              </w:rPr>
              <w:t>64,29</w:t>
            </w:r>
          </w:p>
        </w:tc>
      </w:tr>
    </w:tbl>
    <w:p w:rsidR="00647C33" w:rsidRDefault="006728B3" w:rsidP="00647C33">
      <w:pPr>
        <w:spacing w:before="240" w:line="276" w:lineRule="auto"/>
        <w:jc w:val="both"/>
        <w:rPr>
          <w:rFonts w:ascii="Times New Roman" w:hAnsi="Times New Roman"/>
        </w:rPr>
      </w:pPr>
      <w:r w:rsidRPr="006728B3">
        <w:rPr>
          <w:rFonts w:ascii="Times New Roman" w:hAnsi="Times New Roman"/>
        </w:rPr>
        <w:t xml:space="preserve">Ievērojot to, ka pretendenta </w:t>
      </w:r>
      <w:r w:rsidRPr="006728B3">
        <w:rPr>
          <w:rFonts w:ascii="Times New Roman" w:hAnsi="Times New Roman"/>
          <w:b/>
        </w:rPr>
        <w:t>SIA “CIMO”</w:t>
      </w:r>
      <w:r w:rsidR="00623A78">
        <w:rPr>
          <w:rFonts w:ascii="Times New Roman" w:hAnsi="Times New Roman"/>
        </w:rPr>
        <w:t xml:space="preserve"> </w:t>
      </w:r>
      <w:r w:rsidRPr="006728B3">
        <w:rPr>
          <w:rFonts w:ascii="Times New Roman" w:hAnsi="Times New Roman"/>
        </w:rPr>
        <w:t xml:space="preserve">piedāvātās cenas būtiski atšķiras no pārējo pretendentu piedāvātajām cenām, Komisija lūdz pretendentam </w:t>
      </w:r>
      <w:r w:rsidRPr="006728B3">
        <w:rPr>
          <w:rFonts w:ascii="Times New Roman" w:hAnsi="Times New Roman"/>
          <w:b/>
        </w:rPr>
        <w:t>SIA “CIMO”</w:t>
      </w:r>
      <w:r w:rsidRPr="006728B3">
        <w:rPr>
          <w:rFonts w:ascii="Times New Roman" w:hAnsi="Times New Roman"/>
        </w:rPr>
        <w:t xml:space="preserve"> sniegt skaidrojumu par pretendenta piedāvātās cenas veidošanās mehānismu, lai Komisija varētu pārliecināties par Pretendenta piedāvātās cenas pamatotību, kā arī, lai pārliecinātos, ka pretendents par šādu piedāvāto cenu spēs izpildīt līgumu gadījumā, ja minētajam pretendentam </w:t>
      </w:r>
      <w:r w:rsidRPr="00647C33">
        <w:rPr>
          <w:rFonts w:ascii="Times New Roman" w:hAnsi="Times New Roman"/>
        </w:rPr>
        <w:t>tiks piešķirtas līguma slēgšanas tiesības.</w:t>
      </w:r>
    </w:p>
    <w:p w:rsidR="00647C33" w:rsidRPr="00647C33" w:rsidRDefault="00647C33" w:rsidP="00647C33">
      <w:pPr>
        <w:spacing w:line="276" w:lineRule="auto"/>
        <w:jc w:val="both"/>
        <w:rPr>
          <w:rFonts w:ascii="Times New Roman" w:hAnsi="Times New Roman"/>
        </w:rPr>
      </w:pPr>
      <w:r w:rsidRPr="00647C33">
        <w:rPr>
          <w:rFonts w:ascii="Times New Roman" w:eastAsia="Times New Roman" w:hAnsi="Times New Roman"/>
          <w:bCs/>
          <w:lang w:eastAsia="lv-LV"/>
        </w:rPr>
        <w:t xml:space="preserve">06.01.2017. tika </w:t>
      </w:r>
      <w:r w:rsidRPr="00647C33">
        <w:rPr>
          <w:rFonts w:ascii="Times New Roman" w:hAnsi="Times New Roman"/>
        </w:rPr>
        <w:t xml:space="preserve">saņemts pretendenta </w:t>
      </w:r>
      <w:r w:rsidRPr="00647C33">
        <w:rPr>
          <w:rFonts w:ascii="Times New Roman" w:hAnsi="Times New Roman"/>
          <w:b/>
        </w:rPr>
        <w:t>SIA “CIMO”</w:t>
      </w:r>
      <w:r w:rsidRPr="00647C33">
        <w:rPr>
          <w:rFonts w:ascii="Times New Roman" w:hAnsi="Times New Roman"/>
        </w:rPr>
        <w:t xml:space="preserve"> skaidrojums par </w:t>
      </w:r>
      <w:r>
        <w:rPr>
          <w:rFonts w:ascii="Times New Roman" w:hAnsi="Times New Roman"/>
        </w:rPr>
        <w:t>tā</w:t>
      </w:r>
      <w:r w:rsidRPr="00647C33">
        <w:rPr>
          <w:rFonts w:ascii="Times New Roman" w:hAnsi="Times New Roman"/>
        </w:rPr>
        <w:t xml:space="preserve"> piedāvātās cenas veidošanās mehānismu.</w:t>
      </w:r>
      <w:r>
        <w:rPr>
          <w:rFonts w:ascii="Times New Roman" w:hAnsi="Times New Roman"/>
        </w:rPr>
        <w:t xml:space="preserve"> </w:t>
      </w:r>
      <w:r w:rsidRPr="00647C33">
        <w:rPr>
          <w:rFonts w:ascii="Times New Roman" w:hAnsi="Times New Roman"/>
        </w:rPr>
        <w:t xml:space="preserve">Izvērtējot pretendenta iesniegto skaidrojumu, kā arī </w:t>
      </w:r>
      <w:r>
        <w:rPr>
          <w:rFonts w:ascii="Times New Roman" w:hAnsi="Times New Roman"/>
        </w:rPr>
        <w:t xml:space="preserve">Iepirkumā pieaicinātā </w:t>
      </w:r>
      <w:r w:rsidRPr="00647C33">
        <w:rPr>
          <w:rFonts w:ascii="Times New Roman" w:hAnsi="Times New Roman"/>
        </w:rPr>
        <w:t>eksperta Uģa Kozlovska sniegto atzinumu par c</w:t>
      </w:r>
      <w:r>
        <w:rPr>
          <w:rFonts w:ascii="Times New Roman" w:hAnsi="Times New Roman"/>
        </w:rPr>
        <w:t>enas pamatotību, Komisija secināja</w:t>
      </w:r>
      <w:r w:rsidRPr="00647C33">
        <w:rPr>
          <w:rFonts w:ascii="Times New Roman" w:hAnsi="Times New Roman"/>
        </w:rPr>
        <w:t xml:space="preserve">, ka pretendenta </w:t>
      </w:r>
      <w:r w:rsidRPr="00647C33">
        <w:rPr>
          <w:rFonts w:ascii="Times New Roman" w:hAnsi="Times New Roman"/>
          <w:b/>
        </w:rPr>
        <w:t>SIA “CIMO”</w:t>
      </w:r>
      <w:r w:rsidRPr="00647C33">
        <w:rPr>
          <w:rFonts w:ascii="Times New Roman" w:hAnsi="Times New Roman"/>
        </w:rPr>
        <w:t xml:space="preserve"> piedāvātā cena Iepirkuma 1.daļā un Iepirkuma 2.daļā ir pamatota.</w:t>
      </w:r>
    </w:p>
    <w:p w:rsidR="00B53269" w:rsidRPr="00B53269" w:rsidRDefault="00C6394E" w:rsidP="00325E42">
      <w:pPr>
        <w:numPr>
          <w:ilvl w:val="0"/>
          <w:numId w:val="3"/>
        </w:numPr>
        <w:spacing w:line="276" w:lineRule="auto"/>
        <w:ind w:left="357" w:hanging="357"/>
        <w:jc w:val="both"/>
        <w:rPr>
          <w:rFonts w:ascii="Times New Roman" w:hAnsi="Times New Roman"/>
          <w:b/>
        </w:rPr>
      </w:pPr>
      <w:r w:rsidRPr="00B53269">
        <w:rPr>
          <w:rFonts w:ascii="Times New Roman" w:hAnsi="Times New Roman"/>
          <w:b/>
        </w:rPr>
        <w:t>D</w:t>
      </w:r>
      <w:r w:rsidRPr="00B53269">
        <w:rPr>
          <w:rFonts w:ascii="Times New Roman" w:hAnsi="Times New Roman"/>
          <w:b/>
        </w:rPr>
        <w:t>ienā, kad pieņemts lēmums par iespējamu līguma slēgšanas tiesību piešķiršanu</w:t>
      </w:r>
      <w:r w:rsidR="00B53269" w:rsidRPr="00B53269">
        <w:rPr>
          <w:rFonts w:ascii="Times New Roman" w:hAnsi="Times New Roman"/>
          <w:b/>
        </w:rPr>
        <w:t xml:space="preserve"> </w:t>
      </w:r>
      <w:r w:rsidR="00B53269" w:rsidRPr="00B53269">
        <w:rPr>
          <w:rFonts w:ascii="Times New Roman" w:eastAsia="Times New Roman" w:hAnsi="Times New Roman"/>
          <w:b/>
          <w:bCs/>
          <w:lang w:eastAsia="lv-LV"/>
        </w:rPr>
        <w:t>Publisko iepirkumu likuma 8</w:t>
      </w:r>
      <w:r w:rsidR="00B53269" w:rsidRPr="00B53269">
        <w:rPr>
          <w:rFonts w:ascii="Times New Roman" w:eastAsia="Times New Roman" w:hAnsi="Times New Roman"/>
          <w:b/>
          <w:bCs/>
          <w:vertAlign w:val="superscript"/>
          <w:lang w:eastAsia="lv-LV"/>
        </w:rPr>
        <w:t>2</w:t>
      </w:r>
      <w:r w:rsidR="00B53269" w:rsidRPr="00B53269">
        <w:rPr>
          <w:rFonts w:ascii="Times New Roman" w:eastAsia="Times New Roman" w:hAnsi="Times New Roman"/>
          <w:b/>
          <w:bCs/>
          <w:lang w:eastAsia="lv-LV"/>
        </w:rPr>
        <w:t>. panta piektajā daļā minētie izslēgšanas nosacījumi</w:t>
      </w:r>
      <w:r w:rsidR="00B53269" w:rsidRPr="00B53269">
        <w:rPr>
          <w:rFonts w:ascii="Times New Roman" w:eastAsia="Times New Roman" w:hAnsi="Times New Roman"/>
          <w:bCs/>
          <w:lang w:eastAsia="lv-LV"/>
        </w:rPr>
        <w:t xml:space="preserve"> </w:t>
      </w:r>
      <w:r w:rsidR="00B53269" w:rsidRPr="00B53269">
        <w:rPr>
          <w:rFonts w:ascii="Times New Roman" w:eastAsia="Times New Roman" w:hAnsi="Times New Roman"/>
          <w:b/>
          <w:bCs/>
          <w:lang w:eastAsia="lv-LV"/>
        </w:rPr>
        <w:t>pretendent</w:t>
      </w:r>
      <w:r w:rsidR="00FA2911">
        <w:rPr>
          <w:rFonts w:ascii="Times New Roman" w:eastAsia="Times New Roman" w:hAnsi="Times New Roman"/>
          <w:b/>
          <w:bCs/>
          <w:lang w:eastAsia="lv-LV"/>
        </w:rPr>
        <w:t xml:space="preserve">am </w:t>
      </w:r>
      <w:r w:rsidR="00FA2911" w:rsidRPr="00647C33">
        <w:rPr>
          <w:rFonts w:ascii="Times New Roman" w:hAnsi="Times New Roman"/>
          <w:b/>
        </w:rPr>
        <w:t>SIA “CIMO”</w:t>
      </w:r>
      <w:r w:rsidR="00FA2911">
        <w:rPr>
          <w:rFonts w:ascii="Times New Roman" w:hAnsi="Times New Roman"/>
          <w:b/>
        </w:rPr>
        <w:t xml:space="preserve"> </w:t>
      </w:r>
      <w:r w:rsidR="00FA2911" w:rsidRPr="00FA2911">
        <w:rPr>
          <w:rFonts w:ascii="Times New Roman" w:hAnsi="Times New Roman"/>
          <w:b/>
          <w:u w:val="single"/>
        </w:rPr>
        <w:t>nav konstatējami.</w:t>
      </w:r>
    </w:p>
    <w:p w:rsidR="00602207" w:rsidRDefault="00551D4F" w:rsidP="00602207">
      <w:pPr>
        <w:numPr>
          <w:ilvl w:val="0"/>
          <w:numId w:val="3"/>
        </w:numPr>
        <w:spacing w:line="276" w:lineRule="auto"/>
        <w:ind w:left="357" w:hanging="357"/>
        <w:jc w:val="both"/>
        <w:rPr>
          <w:rFonts w:ascii="Times New Roman" w:hAnsi="Times New Roman"/>
          <w:b/>
        </w:rPr>
      </w:pPr>
      <w:r w:rsidRPr="00A625DF">
        <w:rPr>
          <w:rFonts w:ascii="Times New Roman" w:hAnsi="Times New Roman"/>
          <w:b/>
        </w:rPr>
        <w:t xml:space="preserve">Komisija, ņemot vērā veikto pretendentu iesniegto piedāvājumu </w:t>
      </w:r>
      <w:proofErr w:type="spellStart"/>
      <w:r w:rsidRPr="00A625DF">
        <w:rPr>
          <w:rFonts w:ascii="Times New Roman" w:hAnsi="Times New Roman"/>
          <w:b/>
        </w:rPr>
        <w:t>izvērtējumu</w:t>
      </w:r>
      <w:proofErr w:type="spellEnd"/>
      <w:r w:rsidRPr="00A625DF">
        <w:rPr>
          <w:rFonts w:ascii="Times New Roman" w:hAnsi="Times New Roman"/>
          <w:b/>
        </w:rPr>
        <w:t>, kā arī pamatojoties uz PIL 8.</w:t>
      </w:r>
      <w:r w:rsidRPr="00A625DF">
        <w:rPr>
          <w:rFonts w:ascii="Times New Roman" w:hAnsi="Times New Roman"/>
          <w:b/>
          <w:vertAlign w:val="superscript"/>
        </w:rPr>
        <w:t>2</w:t>
      </w:r>
      <w:r w:rsidR="00A34CAE">
        <w:rPr>
          <w:rFonts w:ascii="Times New Roman" w:hAnsi="Times New Roman"/>
          <w:b/>
        </w:rPr>
        <w:t xml:space="preserve"> panta devīto daļu un Nolikuma 6.9</w:t>
      </w:r>
      <w:r w:rsidRPr="00A625DF">
        <w:rPr>
          <w:rFonts w:ascii="Times New Roman" w:hAnsi="Times New Roman"/>
          <w:b/>
        </w:rPr>
        <w:t>. punktu, nolemj:</w:t>
      </w:r>
    </w:p>
    <w:p w:rsidR="00602207" w:rsidRPr="00A04245" w:rsidRDefault="00602207" w:rsidP="00535B65">
      <w:pPr>
        <w:numPr>
          <w:ilvl w:val="1"/>
          <w:numId w:val="3"/>
        </w:numPr>
        <w:spacing w:line="276" w:lineRule="auto"/>
        <w:ind w:left="1066" w:hanging="709"/>
        <w:jc w:val="both"/>
        <w:rPr>
          <w:rFonts w:ascii="Times New Roman" w:eastAsia="Times New Roman" w:hAnsi="Times New Roman"/>
        </w:rPr>
      </w:pPr>
      <w:r w:rsidRPr="00A04245">
        <w:rPr>
          <w:rFonts w:ascii="Times New Roman" w:hAnsi="Times New Roman"/>
          <w:b/>
        </w:rPr>
        <w:t xml:space="preserve">atzīt pretendentu SIA „CIMO” </w:t>
      </w:r>
      <w:r w:rsidRPr="00A04245">
        <w:rPr>
          <w:rFonts w:ascii="Times New Roman" w:hAnsi="Times New Roman"/>
          <w:b/>
          <w:bCs/>
          <w:lang w:eastAsia="lv-LV"/>
        </w:rPr>
        <w:t>par uzvarētāju Iepirkuma 1.daļā</w:t>
      </w:r>
      <w:r w:rsidRPr="00A04245">
        <w:rPr>
          <w:rFonts w:ascii="Times New Roman" w:hAnsi="Times New Roman"/>
          <w:bCs/>
          <w:lang w:eastAsia="lv-LV"/>
        </w:rPr>
        <w:t>,</w:t>
      </w:r>
      <w:r w:rsidR="008E3DED" w:rsidRPr="00A04245">
        <w:rPr>
          <w:rFonts w:ascii="Times New Roman" w:hAnsi="Times New Roman"/>
          <w:bCs/>
          <w:lang w:eastAsia="lv-LV"/>
        </w:rPr>
        <w:t xml:space="preserve"> </w:t>
      </w:r>
      <w:r w:rsidR="00A04245" w:rsidRPr="00A04245">
        <w:rPr>
          <w:rFonts w:ascii="Times New Roman" w:hAnsi="Times New Roman"/>
        </w:rPr>
        <w:t xml:space="preserve">jo tā piedāvājums ir saimnieciski visizdevīgākais, </w:t>
      </w:r>
      <w:r w:rsidR="00A04245" w:rsidRPr="00A04245">
        <w:rPr>
          <w:rFonts w:ascii="Times New Roman" w:hAnsi="Times New Roman"/>
          <w:bCs/>
        </w:rPr>
        <w:t>iegūstot augstāko punktu kopvērtējumu</w:t>
      </w:r>
      <w:r w:rsidR="00A04245">
        <w:rPr>
          <w:rFonts w:ascii="Times New Roman" w:hAnsi="Times New Roman"/>
        </w:rPr>
        <w:t xml:space="preserve"> 75 punktus</w:t>
      </w:r>
      <w:r w:rsidR="008E3DED" w:rsidRPr="00A04245">
        <w:rPr>
          <w:rFonts w:ascii="Times New Roman" w:hAnsi="Times New Roman"/>
        </w:rPr>
        <w:t xml:space="preserve">, </w:t>
      </w:r>
      <w:r w:rsidRPr="00A04245">
        <w:rPr>
          <w:rFonts w:ascii="Times New Roman" w:hAnsi="Times New Roman"/>
          <w:bCs/>
          <w:lang w:eastAsia="lv-LV"/>
        </w:rPr>
        <w:t>un piešķirt tam līguma slēgšanas tiesības;</w:t>
      </w:r>
    </w:p>
    <w:p w:rsidR="00602207" w:rsidRPr="00A04245" w:rsidRDefault="00602207" w:rsidP="00F1028A">
      <w:pPr>
        <w:numPr>
          <w:ilvl w:val="1"/>
          <w:numId w:val="3"/>
        </w:numPr>
        <w:spacing w:line="276" w:lineRule="auto"/>
        <w:ind w:left="1066" w:hanging="709"/>
        <w:jc w:val="both"/>
        <w:rPr>
          <w:rFonts w:ascii="Times New Roman" w:eastAsia="Times New Roman" w:hAnsi="Times New Roman"/>
        </w:rPr>
      </w:pPr>
      <w:r w:rsidRPr="00A04245">
        <w:rPr>
          <w:rFonts w:ascii="Times New Roman" w:hAnsi="Times New Roman"/>
          <w:b/>
        </w:rPr>
        <w:t xml:space="preserve">atzīt pretendentu SIA „CIMO” </w:t>
      </w:r>
      <w:r w:rsidRPr="00A04245">
        <w:rPr>
          <w:rFonts w:ascii="Times New Roman" w:hAnsi="Times New Roman"/>
          <w:b/>
          <w:bCs/>
          <w:lang w:eastAsia="lv-LV"/>
        </w:rPr>
        <w:t>par uzvarētāju Iepirkuma 2.daļā</w:t>
      </w:r>
      <w:r w:rsidR="00A04245" w:rsidRPr="00A04245">
        <w:rPr>
          <w:rFonts w:ascii="Times New Roman" w:hAnsi="Times New Roman"/>
        </w:rPr>
        <w:t xml:space="preserve">, jo tā piedāvājums ir saimnieciski visizdevīgākais, </w:t>
      </w:r>
      <w:r w:rsidR="00A04245" w:rsidRPr="00A04245">
        <w:rPr>
          <w:rFonts w:ascii="Times New Roman" w:hAnsi="Times New Roman"/>
          <w:bCs/>
        </w:rPr>
        <w:t xml:space="preserve">iegūstot augstāko punktu kopvērtējumu </w:t>
      </w:r>
      <w:r w:rsidR="00FD0743" w:rsidRPr="00A04245">
        <w:rPr>
          <w:rFonts w:ascii="Times New Roman" w:hAnsi="Times New Roman"/>
        </w:rPr>
        <w:t>82</w:t>
      </w:r>
      <w:r w:rsidR="00A04245">
        <w:rPr>
          <w:rFonts w:ascii="Times New Roman" w:hAnsi="Times New Roman"/>
        </w:rPr>
        <w:t xml:space="preserve"> punktus</w:t>
      </w:r>
      <w:r w:rsidR="00FD0743" w:rsidRPr="00A04245">
        <w:rPr>
          <w:rFonts w:ascii="Times New Roman" w:hAnsi="Times New Roman"/>
        </w:rPr>
        <w:t xml:space="preserve">, </w:t>
      </w:r>
      <w:r w:rsidRPr="00A04245">
        <w:rPr>
          <w:rFonts w:ascii="Times New Roman" w:hAnsi="Times New Roman"/>
          <w:bCs/>
          <w:lang w:eastAsia="lv-LV"/>
        </w:rPr>
        <w:t>un piešķirt tam līguma slēgšanas tiesības;</w:t>
      </w:r>
    </w:p>
    <w:p w:rsidR="00602207" w:rsidRPr="00D36E2C" w:rsidRDefault="00602207" w:rsidP="00602207">
      <w:pPr>
        <w:numPr>
          <w:ilvl w:val="1"/>
          <w:numId w:val="3"/>
        </w:numPr>
        <w:spacing w:line="276" w:lineRule="auto"/>
        <w:ind w:left="1066" w:hanging="709"/>
        <w:jc w:val="both"/>
        <w:rPr>
          <w:rFonts w:ascii="Times New Roman" w:eastAsia="Times New Roman" w:hAnsi="Times New Roman"/>
        </w:rPr>
      </w:pPr>
      <w:r w:rsidRPr="00D36E2C">
        <w:rPr>
          <w:rFonts w:ascii="Times New Roman" w:hAnsi="Times New Roman"/>
        </w:rPr>
        <w:t>trīs darbdienu laikā informēt visus pretendentus par Iepirkumā izraudzīto uzvarētāju un Latvijas Universitātes mājaslapā internetā nodrošināt brīvu un tiešu elektronisku pieeju šim lēmumam;</w:t>
      </w:r>
    </w:p>
    <w:p w:rsidR="00602207" w:rsidRDefault="00602207" w:rsidP="00602207">
      <w:pPr>
        <w:numPr>
          <w:ilvl w:val="1"/>
          <w:numId w:val="3"/>
        </w:numPr>
        <w:spacing w:line="276" w:lineRule="auto"/>
        <w:ind w:left="1066" w:hanging="709"/>
        <w:jc w:val="both"/>
        <w:rPr>
          <w:rFonts w:ascii="Times New Roman" w:eastAsia="Times New Roman" w:hAnsi="Times New Roman"/>
        </w:rPr>
      </w:pPr>
      <w:r w:rsidRPr="00602207">
        <w:rPr>
          <w:rFonts w:ascii="Times New Roman" w:hAnsi="Times New Roman"/>
        </w:rPr>
        <w:t xml:space="preserve">ne vēlāk kā piecu darbdienu laikā pēc tam, kad noslēgts iepirkuma līgums </w:t>
      </w:r>
      <w:r w:rsidRPr="00602207">
        <w:rPr>
          <w:rFonts w:ascii="Times New Roman" w:hAnsi="Times New Roman"/>
          <w:bCs/>
          <w:lang w:eastAsia="lv-LV"/>
        </w:rPr>
        <w:t xml:space="preserve">ar </w:t>
      </w:r>
      <w:r w:rsidRPr="00602207">
        <w:rPr>
          <w:rFonts w:ascii="Times New Roman" w:hAnsi="Times New Roman"/>
          <w:b/>
        </w:rPr>
        <w:t>SIA „CIMO”</w:t>
      </w:r>
      <w:bookmarkStart w:id="0" w:name="_GoBack"/>
      <w:r w:rsidRPr="001F7882">
        <w:rPr>
          <w:rFonts w:ascii="Times New Roman" w:hAnsi="Times New Roman"/>
        </w:rPr>
        <w:t>,</w:t>
      </w:r>
      <w:bookmarkEnd w:id="0"/>
      <w:r w:rsidRPr="00602207">
        <w:rPr>
          <w:rFonts w:ascii="Times New Roman" w:hAnsi="Times New Roman"/>
        </w:rPr>
        <w:t xml:space="preserve"> publicēt Iepirkumu uzraudzības biroja mājaslapā internetā informatīvu paziņojumu par noslēgto līgumu;</w:t>
      </w:r>
    </w:p>
    <w:p w:rsidR="00602207" w:rsidRPr="00602207" w:rsidRDefault="00602207" w:rsidP="00602207">
      <w:pPr>
        <w:numPr>
          <w:ilvl w:val="1"/>
          <w:numId w:val="3"/>
        </w:numPr>
        <w:spacing w:line="276" w:lineRule="auto"/>
        <w:ind w:left="1066" w:hanging="709"/>
        <w:jc w:val="both"/>
        <w:rPr>
          <w:rFonts w:ascii="Times New Roman" w:eastAsia="Times New Roman" w:hAnsi="Times New Roman"/>
        </w:rPr>
      </w:pPr>
      <w:r w:rsidRPr="00602207">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4C4B3F" w:rsidRPr="004C4B3F" w:rsidRDefault="00602207" w:rsidP="004C4B3F">
      <w:pPr>
        <w:numPr>
          <w:ilvl w:val="0"/>
          <w:numId w:val="3"/>
        </w:numPr>
        <w:spacing w:line="276" w:lineRule="auto"/>
        <w:ind w:left="357" w:hanging="357"/>
        <w:jc w:val="both"/>
        <w:rPr>
          <w:rFonts w:ascii="Times New Roman" w:hAnsi="Times New Roman"/>
          <w:b/>
        </w:rPr>
      </w:pPr>
      <w:r w:rsidRPr="00602207">
        <w:rPr>
          <w:rFonts w:ascii="Times New Roman" w:eastAsia="Times New Roman" w:hAnsi="Times New Roman"/>
          <w:bCs/>
          <w:lang w:eastAsia="lv-LV"/>
        </w:rPr>
        <w:t>Saskaņā ar Publisko iepirkumu likuma 8.</w:t>
      </w:r>
      <w:r w:rsidRPr="00602207">
        <w:rPr>
          <w:rFonts w:ascii="Times New Roman" w:eastAsia="Times New Roman" w:hAnsi="Times New Roman"/>
          <w:bCs/>
          <w:vertAlign w:val="superscript"/>
          <w:lang w:eastAsia="lv-LV"/>
        </w:rPr>
        <w:t xml:space="preserve">2 </w:t>
      </w:r>
      <w:r w:rsidRPr="00602207">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4C4B3F" w:rsidRPr="004C4B3F" w:rsidRDefault="004C4B3F" w:rsidP="004C4B3F">
      <w:pPr>
        <w:spacing w:line="276" w:lineRule="auto"/>
        <w:ind w:left="357"/>
        <w:jc w:val="both"/>
        <w:rPr>
          <w:rFonts w:ascii="Times New Roman" w:hAnsi="Times New Roman"/>
          <w:b/>
        </w:rPr>
      </w:pPr>
    </w:p>
    <w:tbl>
      <w:tblPr>
        <w:tblW w:w="9529" w:type="dxa"/>
        <w:tblInd w:w="-142" w:type="dxa"/>
        <w:tblLook w:val="04A0" w:firstRow="1" w:lastRow="0" w:firstColumn="1" w:lastColumn="0" w:noHBand="0" w:noVBand="1"/>
      </w:tblPr>
      <w:tblGrid>
        <w:gridCol w:w="3801"/>
        <w:gridCol w:w="3576"/>
        <w:gridCol w:w="2152"/>
      </w:tblGrid>
      <w:tr w:rsidR="004C4B3F" w:rsidRPr="004A3840" w:rsidTr="005C7F74">
        <w:tc>
          <w:tcPr>
            <w:tcW w:w="3801"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Komisijas priekšsēdētāja</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/B. Broka/</w:t>
            </w: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Komisijas locekļi:</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/A. Ozola/</w:t>
            </w: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/S. Ulmane/</w:t>
            </w: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/A. Kuziks/</w:t>
            </w: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/A. </w:t>
            </w:r>
            <w:proofErr w:type="spellStart"/>
            <w:r w:rsidRPr="004A3840">
              <w:rPr>
                <w:rFonts w:ascii="Times New Roman" w:hAnsi="Times New Roman"/>
              </w:rPr>
              <w:t>Andržejevska</w:t>
            </w:r>
            <w:proofErr w:type="spellEnd"/>
            <w:r w:rsidRPr="004A3840">
              <w:rPr>
                <w:rFonts w:ascii="Times New Roman" w:hAnsi="Times New Roman"/>
              </w:rPr>
              <w:t>/</w:t>
            </w: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tc>
      </w:tr>
      <w:tr w:rsidR="004C4B3F" w:rsidRPr="004A3840" w:rsidTr="005C7F74">
        <w:tc>
          <w:tcPr>
            <w:tcW w:w="3801" w:type="dxa"/>
            <w:shd w:val="clear" w:color="auto" w:fill="auto"/>
          </w:tcPr>
          <w:p w:rsidR="004C4B3F" w:rsidRPr="004A3840" w:rsidRDefault="004C4B3F" w:rsidP="005C7F74">
            <w:pPr>
              <w:rPr>
                <w:rFonts w:ascii="Times New Roman" w:hAnsi="Times New Roman"/>
              </w:rPr>
            </w:pPr>
            <w:r w:rsidRPr="004A3840">
              <w:rPr>
                <w:rFonts w:ascii="Times New Roman" w:hAnsi="Times New Roman"/>
                <w:iCs/>
              </w:rPr>
              <w:t>Iepirkuma komisijas sekretāre:</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/S. Kursīte/</w:t>
            </w:r>
          </w:p>
        </w:tc>
      </w:tr>
    </w:tbl>
    <w:p w:rsidR="007F1D8D" w:rsidRPr="004C4B3F" w:rsidRDefault="007F1D8D" w:rsidP="004C4B3F">
      <w:pPr>
        <w:spacing w:line="276" w:lineRule="auto"/>
        <w:jc w:val="both"/>
        <w:rPr>
          <w:rFonts w:ascii="Times New Roman" w:hAnsi="Times New Roman"/>
          <w:b/>
        </w:rPr>
      </w:pPr>
    </w:p>
    <w:sectPr w:rsidR="007F1D8D" w:rsidRPr="004C4B3F" w:rsidSect="007811D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CB" w:rsidRDefault="00A926CB" w:rsidP="006033D8">
      <w:r>
        <w:separator/>
      </w:r>
    </w:p>
  </w:endnote>
  <w:endnote w:type="continuationSeparator" w:id="0">
    <w:p w:rsidR="00A926CB" w:rsidRDefault="00A926CB"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1F7882">
          <w:rPr>
            <w:rFonts w:ascii="Times New Roman" w:hAnsi="Times New Roman"/>
            <w:noProof/>
          </w:rPr>
          <w:t>8</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CB" w:rsidRDefault="00A926CB" w:rsidP="006033D8">
      <w:r>
        <w:separator/>
      </w:r>
    </w:p>
  </w:footnote>
  <w:footnote w:type="continuationSeparator" w:id="0">
    <w:p w:rsidR="00A926CB" w:rsidRDefault="00A926CB"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5F26FB"/>
    <w:multiLevelType w:val="hybridMultilevel"/>
    <w:tmpl w:val="00843720"/>
    <w:lvl w:ilvl="0" w:tplc="B41AE2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063EDF"/>
    <w:multiLevelType w:val="hybridMultilevel"/>
    <w:tmpl w:val="00843720"/>
    <w:lvl w:ilvl="0" w:tplc="B41AE2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C17B8"/>
    <w:multiLevelType w:val="hybridMultilevel"/>
    <w:tmpl w:val="43CA13F4"/>
    <w:lvl w:ilvl="0" w:tplc="04260019">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3"/>
  </w:num>
  <w:num w:numId="5">
    <w:abstractNumId w:val="9"/>
  </w:num>
  <w:num w:numId="6">
    <w:abstractNumId w:val="12"/>
  </w:num>
  <w:num w:numId="7">
    <w:abstractNumId w:val="4"/>
  </w:num>
  <w:num w:numId="8">
    <w:abstractNumId w:val="1"/>
  </w:num>
  <w:num w:numId="9">
    <w:abstractNumId w:val="0"/>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54E1"/>
    <w:rsid w:val="000101B3"/>
    <w:rsid w:val="00015B8B"/>
    <w:rsid w:val="000213E6"/>
    <w:rsid w:val="000305BA"/>
    <w:rsid w:val="0003443F"/>
    <w:rsid w:val="00040144"/>
    <w:rsid w:val="00050D81"/>
    <w:rsid w:val="00055D67"/>
    <w:rsid w:val="00064CB6"/>
    <w:rsid w:val="0007019F"/>
    <w:rsid w:val="00070BBC"/>
    <w:rsid w:val="00081BE0"/>
    <w:rsid w:val="000851CC"/>
    <w:rsid w:val="000857D6"/>
    <w:rsid w:val="00091D9D"/>
    <w:rsid w:val="00092D29"/>
    <w:rsid w:val="0009367D"/>
    <w:rsid w:val="000A3901"/>
    <w:rsid w:val="000A6574"/>
    <w:rsid w:val="000A7BDF"/>
    <w:rsid w:val="000B2D1D"/>
    <w:rsid w:val="000B3125"/>
    <w:rsid w:val="000B4BAD"/>
    <w:rsid w:val="000B57B5"/>
    <w:rsid w:val="000B62B8"/>
    <w:rsid w:val="000C154A"/>
    <w:rsid w:val="000D43E8"/>
    <w:rsid w:val="000E0081"/>
    <w:rsid w:val="000F2AE0"/>
    <w:rsid w:val="00113BAA"/>
    <w:rsid w:val="00115D02"/>
    <w:rsid w:val="00116E28"/>
    <w:rsid w:val="001200E0"/>
    <w:rsid w:val="00134C38"/>
    <w:rsid w:val="001479D2"/>
    <w:rsid w:val="0015286B"/>
    <w:rsid w:val="001576BD"/>
    <w:rsid w:val="001737AC"/>
    <w:rsid w:val="00196880"/>
    <w:rsid w:val="00197E3D"/>
    <w:rsid w:val="001A0F45"/>
    <w:rsid w:val="001A112A"/>
    <w:rsid w:val="001B0CA3"/>
    <w:rsid w:val="001B5054"/>
    <w:rsid w:val="001B6392"/>
    <w:rsid w:val="001C44F2"/>
    <w:rsid w:val="001D1555"/>
    <w:rsid w:val="001D6525"/>
    <w:rsid w:val="001E1C8A"/>
    <w:rsid w:val="001F31CE"/>
    <w:rsid w:val="001F7882"/>
    <w:rsid w:val="001F7A0B"/>
    <w:rsid w:val="00207651"/>
    <w:rsid w:val="00220A90"/>
    <w:rsid w:val="002229EC"/>
    <w:rsid w:val="00226C62"/>
    <w:rsid w:val="00230887"/>
    <w:rsid w:val="00231806"/>
    <w:rsid w:val="002401AF"/>
    <w:rsid w:val="0024086A"/>
    <w:rsid w:val="00241856"/>
    <w:rsid w:val="0024340B"/>
    <w:rsid w:val="00245295"/>
    <w:rsid w:val="002453E0"/>
    <w:rsid w:val="002466F7"/>
    <w:rsid w:val="002620A4"/>
    <w:rsid w:val="002638B8"/>
    <w:rsid w:val="00265AD5"/>
    <w:rsid w:val="00267A3F"/>
    <w:rsid w:val="00272C93"/>
    <w:rsid w:val="00285C0A"/>
    <w:rsid w:val="00296863"/>
    <w:rsid w:val="002B597C"/>
    <w:rsid w:val="002B76C9"/>
    <w:rsid w:val="002C3F02"/>
    <w:rsid w:val="002C4E9E"/>
    <w:rsid w:val="002D3537"/>
    <w:rsid w:val="002E765C"/>
    <w:rsid w:val="002E78F2"/>
    <w:rsid w:val="00312122"/>
    <w:rsid w:val="00324616"/>
    <w:rsid w:val="00327A61"/>
    <w:rsid w:val="003326E9"/>
    <w:rsid w:val="00333CD8"/>
    <w:rsid w:val="00334F94"/>
    <w:rsid w:val="00353342"/>
    <w:rsid w:val="003600F9"/>
    <w:rsid w:val="00361A7E"/>
    <w:rsid w:val="0036485B"/>
    <w:rsid w:val="00365D1C"/>
    <w:rsid w:val="0038727C"/>
    <w:rsid w:val="00391387"/>
    <w:rsid w:val="00396CF6"/>
    <w:rsid w:val="00397029"/>
    <w:rsid w:val="003B7820"/>
    <w:rsid w:val="003C0508"/>
    <w:rsid w:val="003C0A2A"/>
    <w:rsid w:val="003C5192"/>
    <w:rsid w:val="003C7D90"/>
    <w:rsid w:val="003D6DF3"/>
    <w:rsid w:val="003F58C7"/>
    <w:rsid w:val="0040100D"/>
    <w:rsid w:val="004040DF"/>
    <w:rsid w:val="00407C29"/>
    <w:rsid w:val="00427EF1"/>
    <w:rsid w:val="00434345"/>
    <w:rsid w:val="00434782"/>
    <w:rsid w:val="004357CF"/>
    <w:rsid w:val="00461E31"/>
    <w:rsid w:val="00463096"/>
    <w:rsid w:val="00465086"/>
    <w:rsid w:val="00483556"/>
    <w:rsid w:val="004866F3"/>
    <w:rsid w:val="00490CC3"/>
    <w:rsid w:val="004A3840"/>
    <w:rsid w:val="004B13E9"/>
    <w:rsid w:val="004B3218"/>
    <w:rsid w:val="004B4015"/>
    <w:rsid w:val="004B763D"/>
    <w:rsid w:val="004C4B3F"/>
    <w:rsid w:val="004D76E2"/>
    <w:rsid w:val="004F2020"/>
    <w:rsid w:val="00501D73"/>
    <w:rsid w:val="00506ACF"/>
    <w:rsid w:val="00527289"/>
    <w:rsid w:val="00540A54"/>
    <w:rsid w:val="00540A71"/>
    <w:rsid w:val="00546BC3"/>
    <w:rsid w:val="00551D4F"/>
    <w:rsid w:val="00557DBF"/>
    <w:rsid w:val="00560B28"/>
    <w:rsid w:val="005703B4"/>
    <w:rsid w:val="00584934"/>
    <w:rsid w:val="00586A62"/>
    <w:rsid w:val="00593A7C"/>
    <w:rsid w:val="00593BA6"/>
    <w:rsid w:val="005A2C00"/>
    <w:rsid w:val="005A3FC7"/>
    <w:rsid w:val="005A5D91"/>
    <w:rsid w:val="005B5CFC"/>
    <w:rsid w:val="005C6E67"/>
    <w:rsid w:val="005D2349"/>
    <w:rsid w:val="005E2BA0"/>
    <w:rsid w:val="005E6AA1"/>
    <w:rsid w:val="005F3B6D"/>
    <w:rsid w:val="00602207"/>
    <w:rsid w:val="00602FEF"/>
    <w:rsid w:val="006033D8"/>
    <w:rsid w:val="00605BD0"/>
    <w:rsid w:val="00610DC5"/>
    <w:rsid w:val="00611E91"/>
    <w:rsid w:val="006160C6"/>
    <w:rsid w:val="006174B5"/>
    <w:rsid w:val="00623A78"/>
    <w:rsid w:val="00630721"/>
    <w:rsid w:val="006328B3"/>
    <w:rsid w:val="006419BD"/>
    <w:rsid w:val="00647C33"/>
    <w:rsid w:val="0065223C"/>
    <w:rsid w:val="00654C33"/>
    <w:rsid w:val="0065607C"/>
    <w:rsid w:val="0065725F"/>
    <w:rsid w:val="00660F8A"/>
    <w:rsid w:val="00662ADF"/>
    <w:rsid w:val="0066563A"/>
    <w:rsid w:val="00670422"/>
    <w:rsid w:val="006728B3"/>
    <w:rsid w:val="00674BE2"/>
    <w:rsid w:val="00690D8E"/>
    <w:rsid w:val="006A3AB7"/>
    <w:rsid w:val="006C0D6D"/>
    <w:rsid w:val="006D1344"/>
    <w:rsid w:val="006E04CD"/>
    <w:rsid w:val="006E0BFA"/>
    <w:rsid w:val="006E4C54"/>
    <w:rsid w:val="006F447C"/>
    <w:rsid w:val="007124C1"/>
    <w:rsid w:val="007156D9"/>
    <w:rsid w:val="00725DD8"/>
    <w:rsid w:val="007475AE"/>
    <w:rsid w:val="00754DB3"/>
    <w:rsid w:val="00757467"/>
    <w:rsid w:val="00761CFD"/>
    <w:rsid w:val="00765C53"/>
    <w:rsid w:val="00770C0E"/>
    <w:rsid w:val="00780872"/>
    <w:rsid w:val="007811DE"/>
    <w:rsid w:val="00784817"/>
    <w:rsid w:val="0079244F"/>
    <w:rsid w:val="00792E98"/>
    <w:rsid w:val="007B6161"/>
    <w:rsid w:val="007C27E0"/>
    <w:rsid w:val="007D116F"/>
    <w:rsid w:val="007E4633"/>
    <w:rsid w:val="007E7A58"/>
    <w:rsid w:val="007E7FB9"/>
    <w:rsid w:val="007F1D8D"/>
    <w:rsid w:val="007F52A9"/>
    <w:rsid w:val="007F6B98"/>
    <w:rsid w:val="0080624A"/>
    <w:rsid w:val="0080790F"/>
    <w:rsid w:val="00807C5E"/>
    <w:rsid w:val="008352E4"/>
    <w:rsid w:val="00840EFD"/>
    <w:rsid w:val="00841647"/>
    <w:rsid w:val="008502CD"/>
    <w:rsid w:val="00851B4D"/>
    <w:rsid w:val="00851E6C"/>
    <w:rsid w:val="00852936"/>
    <w:rsid w:val="00862FA9"/>
    <w:rsid w:val="00864FDE"/>
    <w:rsid w:val="0087108C"/>
    <w:rsid w:val="0087307F"/>
    <w:rsid w:val="0087766B"/>
    <w:rsid w:val="00886A19"/>
    <w:rsid w:val="0089129A"/>
    <w:rsid w:val="0089140D"/>
    <w:rsid w:val="00893721"/>
    <w:rsid w:val="008971B1"/>
    <w:rsid w:val="008973FD"/>
    <w:rsid w:val="008A6A9A"/>
    <w:rsid w:val="008B5FBC"/>
    <w:rsid w:val="008C09B6"/>
    <w:rsid w:val="008D1DB5"/>
    <w:rsid w:val="008D4778"/>
    <w:rsid w:val="008E1C04"/>
    <w:rsid w:val="008E3DED"/>
    <w:rsid w:val="008E66D2"/>
    <w:rsid w:val="008F1610"/>
    <w:rsid w:val="008F1BAE"/>
    <w:rsid w:val="008F7C13"/>
    <w:rsid w:val="008F7E18"/>
    <w:rsid w:val="00904E0F"/>
    <w:rsid w:val="00904F3D"/>
    <w:rsid w:val="0091124A"/>
    <w:rsid w:val="00924135"/>
    <w:rsid w:val="00926367"/>
    <w:rsid w:val="00930BB6"/>
    <w:rsid w:val="00932300"/>
    <w:rsid w:val="00935188"/>
    <w:rsid w:val="00940C95"/>
    <w:rsid w:val="00943744"/>
    <w:rsid w:val="009457E0"/>
    <w:rsid w:val="00946C8B"/>
    <w:rsid w:val="009506CB"/>
    <w:rsid w:val="00955023"/>
    <w:rsid w:val="009606E9"/>
    <w:rsid w:val="00975566"/>
    <w:rsid w:val="0097773B"/>
    <w:rsid w:val="00983349"/>
    <w:rsid w:val="00987812"/>
    <w:rsid w:val="009A4D65"/>
    <w:rsid w:val="009B5373"/>
    <w:rsid w:val="009C2BBB"/>
    <w:rsid w:val="009C67F5"/>
    <w:rsid w:val="009D4781"/>
    <w:rsid w:val="009D657E"/>
    <w:rsid w:val="009E2DFC"/>
    <w:rsid w:val="009E6B23"/>
    <w:rsid w:val="009F7CE3"/>
    <w:rsid w:val="00A00A20"/>
    <w:rsid w:val="00A022E8"/>
    <w:rsid w:val="00A03EA2"/>
    <w:rsid w:val="00A04245"/>
    <w:rsid w:val="00A0729E"/>
    <w:rsid w:val="00A110A7"/>
    <w:rsid w:val="00A12308"/>
    <w:rsid w:val="00A155F8"/>
    <w:rsid w:val="00A34CAE"/>
    <w:rsid w:val="00A44D71"/>
    <w:rsid w:val="00A456B3"/>
    <w:rsid w:val="00A625DF"/>
    <w:rsid w:val="00A711CE"/>
    <w:rsid w:val="00A73275"/>
    <w:rsid w:val="00A75DF2"/>
    <w:rsid w:val="00A80F41"/>
    <w:rsid w:val="00A926CB"/>
    <w:rsid w:val="00A94499"/>
    <w:rsid w:val="00A94B8B"/>
    <w:rsid w:val="00A96ABF"/>
    <w:rsid w:val="00A96BA4"/>
    <w:rsid w:val="00AE056A"/>
    <w:rsid w:val="00AE3268"/>
    <w:rsid w:val="00B01811"/>
    <w:rsid w:val="00B0353E"/>
    <w:rsid w:val="00B03C78"/>
    <w:rsid w:val="00B12D92"/>
    <w:rsid w:val="00B14383"/>
    <w:rsid w:val="00B16A0F"/>
    <w:rsid w:val="00B33BE6"/>
    <w:rsid w:val="00B42D18"/>
    <w:rsid w:val="00B447D3"/>
    <w:rsid w:val="00B53269"/>
    <w:rsid w:val="00B63B91"/>
    <w:rsid w:val="00B65F6F"/>
    <w:rsid w:val="00B663C4"/>
    <w:rsid w:val="00B762AF"/>
    <w:rsid w:val="00B7667D"/>
    <w:rsid w:val="00B8069E"/>
    <w:rsid w:val="00B83DD8"/>
    <w:rsid w:val="00B8502A"/>
    <w:rsid w:val="00B851D6"/>
    <w:rsid w:val="00B854C1"/>
    <w:rsid w:val="00B85A69"/>
    <w:rsid w:val="00B866B0"/>
    <w:rsid w:val="00BB3848"/>
    <w:rsid w:val="00BB3EC9"/>
    <w:rsid w:val="00BB7221"/>
    <w:rsid w:val="00BB7A2F"/>
    <w:rsid w:val="00BC26DC"/>
    <w:rsid w:val="00BC2FC7"/>
    <w:rsid w:val="00BD747B"/>
    <w:rsid w:val="00BE13CD"/>
    <w:rsid w:val="00BE5191"/>
    <w:rsid w:val="00BE6F95"/>
    <w:rsid w:val="00BF2B2D"/>
    <w:rsid w:val="00C0171A"/>
    <w:rsid w:val="00C017D4"/>
    <w:rsid w:val="00C02424"/>
    <w:rsid w:val="00C02F72"/>
    <w:rsid w:val="00C12B65"/>
    <w:rsid w:val="00C164FC"/>
    <w:rsid w:val="00C16E6E"/>
    <w:rsid w:val="00C202C1"/>
    <w:rsid w:val="00C2112E"/>
    <w:rsid w:val="00C276CE"/>
    <w:rsid w:val="00C3137C"/>
    <w:rsid w:val="00C31FE5"/>
    <w:rsid w:val="00C32DC7"/>
    <w:rsid w:val="00C42A20"/>
    <w:rsid w:val="00C4721F"/>
    <w:rsid w:val="00C6394E"/>
    <w:rsid w:val="00C64E8D"/>
    <w:rsid w:val="00C66D01"/>
    <w:rsid w:val="00C7363D"/>
    <w:rsid w:val="00C80568"/>
    <w:rsid w:val="00C852E2"/>
    <w:rsid w:val="00C926F0"/>
    <w:rsid w:val="00C93883"/>
    <w:rsid w:val="00C94B98"/>
    <w:rsid w:val="00C955CE"/>
    <w:rsid w:val="00CB3257"/>
    <w:rsid w:val="00CB39FE"/>
    <w:rsid w:val="00CD38B1"/>
    <w:rsid w:val="00CD4AAB"/>
    <w:rsid w:val="00CF0A59"/>
    <w:rsid w:val="00CF20EA"/>
    <w:rsid w:val="00CF58F9"/>
    <w:rsid w:val="00D012AA"/>
    <w:rsid w:val="00D030F8"/>
    <w:rsid w:val="00D13F79"/>
    <w:rsid w:val="00D14047"/>
    <w:rsid w:val="00D14FDC"/>
    <w:rsid w:val="00D208EF"/>
    <w:rsid w:val="00D31FE9"/>
    <w:rsid w:val="00D3329E"/>
    <w:rsid w:val="00D36E2C"/>
    <w:rsid w:val="00D37BEB"/>
    <w:rsid w:val="00D5014E"/>
    <w:rsid w:val="00D549C4"/>
    <w:rsid w:val="00D65599"/>
    <w:rsid w:val="00D74029"/>
    <w:rsid w:val="00D851C5"/>
    <w:rsid w:val="00D9617F"/>
    <w:rsid w:val="00D962EC"/>
    <w:rsid w:val="00D96A7A"/>
    <w:rsid w:val="00DA221B"/>
    <w:rsid w:val="00DA3D07"/>
    <w:rsid w:val="00DB0AFB"/>
    <w:rsid w:val="00DB11ED"/>
    <w:rsid w:val="00DC0A97"/>
    <w:rsid w:val="00DD2A3D"/>
    <w:rsid w:val="00DE1A8B"/>
    <w:rsid w:val="00DE6C20"/>
    <w:rsid w:val="00DE7185"/>
    <w:rsid w:val="00DF3461"/>
    <w:rsid w:val="00DF6D1E"/>
    <w:rsid w:val="00E005C5"/>
    <w:rsid w:val="00E06209"/>
    <w:rsid w:val="00E12557"/>
    <w:rsid w:val="00E233BC"/>
    <w:rsid w:val="00E277A8"/>
    <w:rsid w:val="00E32F73"/>
    <w:rsid w:val="00E342F6"/>
    <w:rsid w:val="00E35084"/>
    <w:rsid w:val="00E45FCB"/>
    <w:rsid w:val="00E45FD7"/>
    <w:rsid w:val="00E676FA"/>
    <w:rsid w:val="00E70122"/>
    <w:rsid w:val="00E73E16"/>
    <w:rsid w:val="00E8498D"/>
    <w:rsid w:val="00E910E3"/>
    <w:rsid w:val="00E93669"/>
    <w:rsid w:val="00E94B19"/>
    <w:rsid w:val="00EA2F77"/>
    <w:rsid w:val="00EA62F8"/>
    <w:rsid w:val="00EF0772"/>
    <w:rsid w:val="00EF1818"/>
    <w:rsid w:val="00EF21AD"/>
    <w:rsid w:val="00F033FA"/>
    <w:rsid w:val="00F0437F"/>
    <w:rsid w:val="00F13A0D"/>
    <w:rsid w:val="00F1632C"/>
    <w:rsid w:val="00F22D40"/>
    <w:rsid w:val="00F301BA"/>
    <w:rsid w:val="00F369B8"/>
    <w:rsid w:val="00F4191E"/>
    <w:rsid w:val="00F50E8E"/>
    <w:rsid w:val="00F57AF2"/>
    <w:rsid w:val="00F61B5C"/>
    <w:rsid w:val="00F61CA2"/>
    <w:rsid w:val="00F63D93"/>
    <w:rsid w:val="00F70028"/>
    <w:rsid w:val="00F71F04"/>
    <w:rsid w:val="00F73441"/>
    <w:rsid w:val="00F769DF"/>
    <w:rsid w:val="00F83AAE"/>
    <w:rsid w:val="00F84027"/>
    <w:rsid w:val="00F97408"/>
    <w:rsid w:val="00FA02B5"/>
    <w:rsid w:val="00FA2911"/>
    <w:rsid w:val="00FA6656"/>
    <w:rsid w:val="00FC2299"/>
    <w:rsid w:val="00FD0743"/>
    <w:rsid w:val="00FD5047"/>
    <w:rsid w:val="00FE7B9A"/>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s@primu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3677-896A-46BB-919C-3C4DDF85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9</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261</cp:revision>
  <cp:lastPrinted>2017-01-18T07:56:00Z</cp:lastPrinted>
  <dcterms:created xsi:type="dcterms:W3CDTF">2016-10-10T09:02:00Z</dcterms:created>
  <dcterms:modified xsi:type="dcterms:W3CDTF">2017-01-18T08:00:00Z</dcterms:modified>
</cp:coreProperties>
</file>