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7AE" w:rsidRPr="00562D97" w:rsidRDefault="00D927AE" w:rsidP="00D927AE">
      <w:pPr>
        <w:widowControl w:val="0"/>
        <w:jc w:val="center"/>
        <w:rPr>
          <w:lang w:val="lv-LV"/>
        </w:rPr>
      </w:pPr>
      <w:r w:rsidRPr="00562D97">
        <w:rPr>
          <w:lang w:val="lv-LV"/>
        </w:rPr>
        <w:t>Latvijas Universitātes</w:t>
      </w:r>
    </w:p>
    <w:p w:rsidR="00D927AE" w:rsidRPr="00562D97" w:rsidRDefault="00D927AE" w:rsidP="00D927AE">
      <w:pPr>
        <w:widowControl w:val="0"/>
        <w:jc w:val="center"/>
        <w:rPr>
          <w:lang w:val="lv-LV"/>
        </w:rPr>
      </w:pPr>
      <w:r w:rsidRPr="00562D97">
        <w:rPr>
          <w:lang w:val="lv-LV"/>
        </w:rPr>
        <w:t>ATKLĀTS KONKURSS</w:t>
      </w:r>
    </w:p>
    <w:p w:rsidR="00D927AE" w:rsidRPr="00562D97" w:rsidRDefault="00D927AE" w:rsidP="00D927AE">
      <w:pPr>
        <w:widowControl w:val="0"/>
        <w:jc w:val="center"/>
        <w:rPr>
          <w:lang w:val="lv-LV"/>
        </w:rPr>
      </w:pPr>
    </w:p>
    <w:p w:rsidR="00D927AE" w:rsidRPr="00562D97" w:rsidRDefault="00D927AE" w:rsidP="00D927AE">
      <w:pPr>
        <w:widowControl w:val="0"/>
        <w:jc w:val="center"/>
        <w:rPr>
          <w:lang w:val="lv-LV"/>
        </w:rPr>
      </w:pPr>
    </w:p>
    <w:p w:rsidR="00D927AE" w:rsidRPr="00562D97" w:rsidRDefault="005323FB" w:rsidP="00D927AE">
      <w:pPr>
        <w:widowControl w:val="0"/>
        <w:jc w:val="center"/>
        <w:rPr>
          <w:b/>
          <w:lang w:val="lv-LV"/>
        </w:rPr>
      </w:pPr>
      <w:r w:rsidRPr="00562D97">
        <w:rPr>
          <w:b/>
          <w:lang w:val="lv-LV"/>
        </w:rPr>
        <w:t>Zinātniskās iekārtas ERAF 2.1.1.3.1. apakšaktivitātes „Zinātnes infrastruktūras attīstība” projektam „Enerģijas un vides resursu ieguves un ilgtspējīgas izmantošanas tehnoloģiju valsts nozīmes pētniecības centra izveide (ietverot arī Transporta un mašīnbūves centra attīstību)” un projektam „Meža un ūdens resursu valsts nozīmes pētījumu centra zinātnes infrastruktūras attīstība”</w:t>
      </w:r>
    </w:p>
    <w:p w:rsidR="00D927AE" w:rsidRPr="00562D97" w:rsidRDefault="00D927AE" w:rsidP="00D927AE">
      <w:pPr>
        <w:widowControl w:val="0"/>
        <w:jc w:val="center"/>
        <w:rPr>
          <w:b/>
          <w:lang w:val="lv-LV"/>
        </w:rPr>
      </w:pPr>
      <w:r w:rsidRPr="00562D97">
        <w:rPr>
          <w:b/>
          <w:lang w:val="lv-LV"/>
        </w:rPr>
        <w:t>identifikācijas Nr. LU 201</w:t>
      </w:r>
      <w:r w:rsidR="005323FB" w:rsidRPr="00562D97">
        <w:rPr>
          <w:b/>
          <w:lang w:val="lv-LV"/>
        </w:rPr>
        <w:t>5</w:t>
      </w:r>
      <w:r w:rsidRPr="00562D97">
        <w:rPr>
          <w:b/>
          <w:lang w:val="lv-LV"/>
        </w:rPr>
        <w:t>/</w:t>
      </w:r>
      <w:r w:rsidR="002C16EF" w:rsidRPr="00562D97">
        <w:rPr>
          <w:b/>
          <w:lang w:val="lv-LV"/>
        </w:rPr>
        <w:t>9_ERAF</w:t>
      </w:r>
    </w:p>
    <w:p w:rsidR="002E59E7" w:rsidRPr="00562D97" w:rsidRDefault="002E59E7" w:rsidP="002E59E7">
      <w:pPr>
        <w:spacing w:after="120"/>
        <w:jc w:val="both"/>
        <w:rPr>
          <w:lang w:val="lv-LV"/>
        </w:rPr>
      </w:pPr>
    </w:p>
    <w:p w:rsidR="003B69F4" w:rsidRPr="00562D97" w:rsidRDefault="008A1F7E" w:rsidP="002E59E7">
      <w:pPr>
        <w:spacing w:after="120"/>
        <w:jc w:val="both"/>
        <w:rPr>
          <w:lang w:val="lv-LV"/>
        </w:rPr>
      </w:pPr>
      <w:r w:rsidRPr="00562D97">
        <w:rPr>
          <w:lang w:val="lv-LV"/>
        </w:rPr>
        <w:t>Rīgā, 2015</w:t>
      </w:r>
      <w:r w:rsidR="003B69F4" w:rsidRPr="00562D97">
        <w:rPr>
          <w:lang w:val="lv-LV"/>
        </w:rPr>
        <w:t xml:space="preserve">.gada </w:t>
      </w:r>
      <w:r w:rsidR="00562D97">
        <w:rPr>
          <w:lang w:val="lv-LV"/>
        </w:rPr>
        <w:t>1.jūnijā</w:t>
      </w:r>
    </w:p>
    <w:p w:rsidR="00D927AE" w:rsidRPr="00562D97" w:rsidRDefault="00D927AE" w:rsidP="002E59E7">
      <w:pPr>
        <w:spacing w:after="120"/>
        <w:jc w:val="both"/>
        <w:rPr>
          <w:lang w:val="lv-LV"/>
        </w:rPr>
      </w:pPr>
      <w:r w:rsidRPr="00562D97">
        <w:rPr>
          <w:lang w:val="lv-LV"/>
        </w:rPr>
        <w:t>Iepirkumu ko</w:t>
      </w:r>
      <w:r w:rsidR="005323FB" w:rsidRPr="00562D97">
        <w:rPr>
          <w:lang w:val="lv-LV"/>
        </w:rPr>
        <w:t>misijas atbildes uz ieinteresēto</w:t>
      </w:r>
      <w:r w:rsidRPr="00562D97">
        <w:rPr>
          <w:lang w:val="lv-LV"/>
        </w:rPr>
        <w:t xml:space="preserve"> piegādātāj</w:t>
      </w:r>
      <w:r w:rsidR="005323FB" w:rsidRPr="00562D97">
        <w:rPr>
          <w:lang w:val="lv-LV"/>
        </w:rPr>
        <w:t>u</w:t>
      </w:r>
      <w:r w:rsidRPr="00562D97">
        <w:rPr>
          <w:lang w:val="lv-LV"/>
        </w:rPr>
        <w:t xml:space="preserve"> jautājumiem.</w:t>
      </w:r>
    </w:p>
    <w:p w:rsidR="00D927AE" w:rsidRPr="00562D97" w:rsidRDefault="00D927AE" w:rsidP="00D927AE">
      <w:pPr>
        <w:pStyle w:val="BodyText"/>
      </w:pPr>
      <w:r w:rsidRPr="00562D97">
        <w:t>Jautājumi attiecas uz atklāta</w:t>
      </w:r>
      <w:r w:rsidR="00562D97" w:rsidRPr="00562D97">
        <w:t xml:space="preserve"> konkursa “Zinātniskās iekārtas ERAF 2.1.1.3.1. apakšaktivitātes „Zinātnes infrastruktūras attīstība” projektam „Enerģijas un vides resursu ieguves un ilgtspējīgas izmantošanas tehnoloģiju valsts nozīmes pētniecības centra izveide (ietverot arī Transporta un mašīnbūves centra attīstību)” un projektam „Meža un ūdens resursu valsts nozīmes pētījumu centra zinātnes infrastruktūras attīstība”” (iepirkuma id.Nr. LU 2015/9_ERAF)</w:t>
      </w:r>
      <w:r w:rsidRPr="00562D97">
        <w:t xml:space="preserve"> (turpmāk – konkurss) </w:t>
      </w:r>
      <w:r w:rsidR="00562D97" w:rsidRPr="00562D97">
        <w:t>nolikuma prasībām</w:t>
      </w:r>
      <w:r w:rsidRPr="00562D97">
        <w:t>.</w:t>
      </w:r>
    </w:p>
    <w:p w:rsidR="00D927AE" w:rsidRDefault="00D927AE" w:rsidP="00D927AE">
      <w:pPr>
        <w:pStyle w:val="BodyText"/>
      </w:pPr>
    </w:p>
    <w:p w:rsidR="00562D97" w:rsidRPr="00562D97" w:rsidRDefault="00562D97" w:rsidP="00562D97">
      <w:pPr>
        <w:pStyle w:val="BodyText"/>
        <w:numPr>
          <w:ilvl w:val="0"/>
          <w:numId w:val="3"/>
        </w:numPr>
        <w:rPr>
          <w:i/>
        </w:rPr>
      </w:pPr>
      <w:r w:rsidRPr="00562D97">
        <w:rPr>
          <w:i/>
        </w:rPr>
        <w:t>„Norādām, ka iepirkuma nolikuma jaunajā redakcijā 2.daļas 1.1.punktā ir izvirzīta prasība “Vakuuma sūkņa sūknēšanas ātrums ir vismaz 0.7 m3/h”, savukārt 2.daļas 1.7.punktā ir izvirzīta prasība “Vakuuma sūknis: … sūknēšanas ātrums vismaz 3.2 m3/h (atbilstoši Pneurop 6602).</w:t>
      </w:r>
    </w:p>
    <w:p w:rsidR="00562D97" w:rsidRPr="00562D97" w:rsidRDefault="00562D97" w:rsidP="00562D97">
      <w:pPr>
        <w:pStyle w:val="BodyText"/>
        <w:ind w:left="709"/>
        <w:rPr>
          <w:i/>
        </w:rPr>
      </w:pPr>
      <w:r w:rsidRPr="00562D97">
        <w:rPr>
          <w:i/>
        </w:rPr>
        <w:t>Tā kā sūknēšanas ātrums ir vakuuma sūkņa raksturlielums, kas ir neatkarīgs no vakuuma sūkņa izvietojuma, lūdzam iepirkuma komisiju izvirzīt vienu prasību vakuuma sūkņa sūknēšanas ātrumam.”</w:t>
      </w:r>
    </w:p>
    <w:p w:rsidR="00562D97" w:rsidRPr="00562D97" w:rsidRDefault="00562D97" w:rsidP="00562D97">
      <w:pPr>
        <w:pStyle w:val="BodyText"/>
        <w:ind w:left="709"/>
        <w:rPr>
          <w:u w:val="single"/>
        </w:rPr>
      </w:pPr>
      <w:r w:rsidRPr="00562D97">
        <w:rPr>
          <w:u w:val="single"/>
        </w:rPr>
        <w:t>Atbilde</w:t>
      </w:r>
    </w:p>
    <w:p w:rsidR="00562D97" w:rsidRDefault="00562D97" w:rsidP="00562D97">
      <w:pPr>
        <w:pStyle w:val="BodyText"/>
        <w:ind w:left="709"/>
        <w:rPr>
          <w:b/>
        </w:rPr>
      </w:pPr>
      <w:r w:rsidRPr="00562D97">
        <w:t xml:space="preserve">LU 2015/9_ERAF nolikuma 2.daļas </w:t>
      </w:r>
      <w:r w:rsidRPr="00562D97">
        <w:rPr>
          <w:i/>
        </w:rPr>
        <w:t>Materiālu poru izmēru un to sadalījuma noteikšanas iekārta (porozimetrs)</w:t>
      </w:r>
      <w:r w:rsidRPr="00562D97">
        <w:t xml:space="preserve"> tehniskajā specifikācijā 1.7.punktā “Komplektējošās detaļas” daļā “Vakuuma sūknis” ir ieviesusies tehniska kļūda. </w:t>
      </w:r>
      <w:r w:rsidRPr="00562D97">
        <w:rPr>
          <w:b/>
          <w:bCs/>
        </w:rPr>
        <w:t>Prasība ir "sūknēšanas ātrums vismaz 0.7</w:t>
      </w:r>
      <w:r w:rsidRPr="00562D97">
        <w:rPr>
          <w:b/>
          <w:i/>
        </w:rPr>
        <w:t xml:space="preserve"> </w:t>
      </w:r>
      <w:r w:rsidRPr="00562D97">
        <w:rPr>
          <w:b/>
        </w:rPr>
        <w:t>m</w:t>
      </w:r>
      <w:r w:rsidRPr="00562D97">
        <w:rPr>
          <w:b/>
          <w:vertAlign w:val="superscript"/>
        </w:rPr>
        <w:t>3</w:t>
      </w:r>
      <w:r w:rsidRPr="00562D97">
        <w:rPr>
          <w:b/>
        </w:rPr>
        <w:t>/h"</w:t>
      </w:r>
      <w:r w:rsidRPr="00562D97">
        <w:t xml:space="preserve">. </w:t>
      </w:r>
      <w:r w:rsidRPr="00562D97">
        <w:rPr>
          <w:b/>
        </w:rPr>
        <w:t>Tiks veikti atbilstoši precizējumi nolikumā.</w:t>
      </w:r>
    </w:p>
    <w:p w:rsidR="00562D97" w:rsidRPr="00562D97" w:rsidRDefault="00562D97" w:rsidP="00562D97">
      <w:pPr>
        <w:pStyle w:val="BodyText"/>
      </w:pPr>
    </w:p>
    <w:p w:rsidR="00562D97" w:rsidRPr="00562D97" w:rsidRDefault="00562D97" w:rsidP="00562D97">
      <w:pPr>
        <w:pStyle w:val="BodyText"/>
        <w:numPr>
          <w:ilvl w:val="0"/>
          <w:numId w:val="3"/>
        </w:numPr>
        <w:rPr>
          <w:i/>
        </w:rPr>
      </w:pPr>
      <w:r w:rsidRPr="00562D97">
        <w:rPr>
          <w:i/>
        </w:rPr>
        <w:t>“Lūdzam iepirkuma komisiju precizēt, vai neatkarīgi no vakuuma sūkņa izvietojuma, iepirkuma 2.daļā aprakstītajam vakuuma sūknim jāatbilst visām 1.7.punktā izvirzītajām prasībām, izņemot jaudas un svara prasībām sistēmai ar iebūvētu vakuuma sūkni, kuram veiktas izmaiņas prasībās, t. sk.:</w:t>
      </w:r>
    </w:p>
    <w:p w:rsidR="00562D97" w:rsidRPr="00562D97" w:rsidRDefault="00562D97" w:rsidP="00562D97">
      <w:pPr>
        <w:pStyle w:val="BodyText"/>
        <w:numPr>
          <w:ilvl w:val="0"/>
          <w:numId w:val="4"/>
        </w:numPr>
        <w:ind w:left="1418"/>
        <w:rPr>
          <w:i/>
        </w:rPr>
      </w:pPr>
      <w:r w:rsidRPr="00562D97">
        <w:rPr>
          <w:i/>
        </w:rPr>
        <w:t>Eļļas sūkņa pakāpju skaits</w:t>
      </w:r>
    </w:p>
    <w:p w:rsidR="00562D97" w:rsidRPr="00562D97" w:rsidRDefault="00562D97" w:rsidP="00562D97">
      <w:pPr>
        <w:pStyle w:val="BodyText"/>
        <w:numPr>
          <w:ilvl w:val="0"/>
          <w:numId w:val="4"/>
        </w:numPr>
        <w:ind w:left="1418"/>
        <w:rPr>
          <w:i/>
        </w:rPr>
      </w:pPr>
      <w:r w:rsidRPr="00562D97">
        <w:rPr>
          <w:i/>
        </w:rPr>
        <w:t>Pretplūsmas vārsta prasības</w:t>
      </w:r>
    </w:p>
    <w:p w:rsidR="00562D97" w:rsidRPr="00562D97" w:rsidRDefault="00562D97" w:rsidP="00562D97">
      <w:pPr>
        <w:pStyle w:val="BodyText"/>
        <w:numPr>
          <w:ilvl w:val="0"/>
          <w:numId w:val="4"/>
        </w:numPr>
        <w:ind w:left="1418"/>
        <w:rPr>
          <w:i/>
        </w:rPr>
      </w:pPr>
      <w:r w:rsidRPr="00562D97">
        <w:rPr>
          <w:i/>
        </w:rPr>
        <w:t>Sasniedzamo vakuumu</w:t>
      </w:r>
    </w:p>
    <w:p w:rsidR="00562D97" w:rsidRPr="00562D97" w:rsidRDefault="00562D97" w:rsidP="00562D97">
      <w:pPr>
        <w:pStyle w:val="BodyText"/>
        <w:numPr>
          <w:ilvl w:val="0"/>
          <w:numId w:val="4"/>
        </w:numPr>
        <w:ind w:left="1418"/>
        <w:rPr>
          <w:i/>
        </w:rPr>
      </w:pPr>
      <w:r w:rsidRPr="00562D97">
        <w:rPr>
          <w:i/>
        </w:rPr>
        <w:t>Gāzes balasta pozīciju skaitu</w:t>
      </w:r>
    </w:p>
    <w:p w:rsidR="00562D97" w:rsidRPr="00562D97" w:rsidRDefault="00562D97" w:rsidP="00562D97">
      <w:pPr>
        <w:pStyle w:val="BodyText"/>
        <w:numPr>
          <w:ilvl w:val="0"/>
          <w:numId w:val="4"/>
        </w:numPr>
        <w:ind w:left="1418"/>
        <w:rPr>
          <w:i/>
        </w:rPr>
      </w:pPr>
      <w:r w:rsidRPr="00562D97">
        <w:rPr>
          <w:i/>
        </w:rPr>
        <w:t>Prasības eļļas filtriem un eļļas atgriešanas sistēmai</w:t>
      </w:r>
    </w:p>
    <w:p w:rsidR="00562D97" w:rsidRPr="00562D97" w:rsidRDefault="00562D97" w:rsidP="00562D97">
      <w:pPr>
        <w:pStyle w:val="BodyText"/>
        <w:numPr>
          <w:ilvl w:val="0"/>
          <w:numId w:val="4"/>
        </w:numPr>
        <w:ind w:left="1418"/>
        <w:rPr>
          <w:i/>
        </w:rPr>
      </w:pPr>
      <w:r w:rsidRPr="00562D97">
        <w:rPr>
          <w:i/>
        </w:rPr>
        <w:t>Atbilstību, Pneurop 6602 standartam</w:t>
      </w:r>
    </w:p>
    <w:p w:rsidR="00562D97" w:rsidRPr="00562D97" w:rsidRDefault="00562D97" w:rsidP="00562D97">
      <w:pPr>
        <w:pStyle w:val="BodyText"/>
        <w:numPr>
          <w:ilvl w:val="0"/>
          <w:numId w:val="4"/>
        </w:numPr>
        <w:ind w:left="1418"/>
        <w:rPr>
          <w:i/>
        </w:rPr>
      </w:pPr>
      <w:r w:rsidRPr="00562D97">
        <w:rPr>
          <w:i/>
        </w:rPr>
        <w:t>Prasības elektriskajam pieslēgumam (1-fāezs 50 hz 230 V)</w:t>
      </w:r>
    </w:p>
    <w:p w:rsidR="00562D97" w:rsidRPr="00562D97" w:rsidRDefault="00562D97" w:rsidP="00562D97">
      <w:pPr>
        <w:pStyle w:val="BodyText"/>
        <w:numPr>
          <w:ilvl w:val="0"/>
          <w:numId w:val="4"/>
        </w:numPr>
        <w:ind w:left="1418"/>
        <w:rPr>
          <w:i/>
        </w:rPr>
      </w:pPr>
      <w:r w:rsidRPr="00562D97">
        <w:rPr>
          <w:i/>
        </w:rPr>
        <w:t>troksnis</w:t>
      </w:r>
    </w:p>
    <w:p w:rsidR="00562D97" w:rsidRDefault="00562D97" w:rsidP="00562D97">
      <w:pPr>
        <w:pStyle w:val="BodyText"/>
        <w:rPr>
          <w:u w:val="single"/>
        </w:rPr>
      </w:pPr>
    </w:p>
    <w:p w:rsidR="00562D97" w:rsidRDefault="00562D97" w:rsidP="00562D97">
      <w:pPr>
        <w:pStyle w:val="BodyText"/>
        <w:rPr>
          <w:u w:val="single"/>
        </w:rPr>
      </w:pPr>
    </w:p>
    <w:p w:rsidR="00562D97" w:rsidRDefault="00562D97" w:rsidP="00562D97">
      <w:pPr>
        <w:pStyle w:val="BodyText"/>
        <w:rPr>
          <w:u w:val="single"/>
        </w:rPr>
      </w:pPr>
    </w:p>
    <w:p w:rsidR="00562D97" w:rsidRPr="00562D97" w:rsidRDefault="00562D97" w:rsidP="00562D97">
      <w:pPr>
        <w:pStyle w:val="BodyText"/>
        <w:ind w:left="709"/>
        <w:rPr>
          <w:u w:val="single"/>
        </w:rPr>
      </w:pPr>
      <w:r w:rsidRPr="00562D97">
        <w:rPr>
          <w:u w:val="single"/>
        </w:rPr>
        <w:t>Atbilde</w:t>
      </w:r>
    </w:p>
    <w:p w:rsidR="00562D97" w:rsidRDefault="00562D97" w:rsidP="00562D97">
      <w:pPr>
        <w:pStyle w:val="BodyText"/>
        <w:ind w:left="709"/>
      </w:pPr>
      <w:r w:rsidRPr="00562D97">
        <w:t>Neatkarīgi no vakuuma sūkņa izvietojuma (atsevišķi stāvošs vai iebūvēts), iepirkuma 2.daļā sistēmai ar iebūvētu vakuuma sūkni jāatbilst visām 1.7.punktā izvirzītajām prasībām, izņemot jaudas, izmēru un svara prasības.</w:t>
      </w:r>
    </w:p>
    <w:p w:rsidR="00562D97" w:rsidRPr="00562D97" w:rsidRDefault="00562D97" w:rsidP="00562D97">
      <w:pPr>
        <w:pStyle w:val="BodyText"/>
      </w:pPr>
    </w:p>
    <w:p w:rsidR="00562D97" w:rsidRPr="00562D97" w:rsidRDefault="00562D97" w:rsidP="00562D97">
      <w:pPr>
        <w:pStyle w:val="BodyText"/>
        <w:numPr>
          <w:ilvl w:val="0"/>
          <w:numId w:val="3"/>
        </w:numPr>
        <w:rPr>
          <w:i/>
        </w:rPr>
      </w:pPr>
      <w:r w:rsidRPr="00562D97">
        <w:rPr>
          <w:i/>
        </w:rPr>
        <w:t>“Lūdzam apstiprināt, ka iepirkuma 2. daļas 1.7punktā izvirzītā prasība “sasniedzamais vakuums – ne sliktāks par 2×10-3 mbar” ir interpretējama kā “sasniedzamais vakuums – ≤ 2×10-3 mbar”.</w:t>
      </w:r>
    </w:p>
    <w:p w:rsidR="00562D97" w:rsidRPr="00562D97" w:rsidRDefault="00562D97" w:rsidP="00562D97">
      <w:pPr>
        <w:pStyle w:val="BodyText"/>
        <w:ind w:left="709"/>
        <w:rPr>
          <w:u w:val="single"/>
        </w:rPr>
      </w:pPr>
      <w:r w:rsidRPr="00562D97">
        <w:rPr>
          <w:u w:val="single"/>
        </w:rPr>
        <w:t>Atbilde</w:t>
      </w:r>
    </w:p>
    <w:p w:rsidR="00562D97" w:rsidRDefault="00562D97" w:rsidP="00562D97">
      <w:pPr>
        <w:pStyle w:val="BodyText"/>
        <w:ind w:left="709"/>
      </w:pPr>
      <w:r w:rsidRPr="00562D97">
        <w:t>Apstiprinām, ka sasniedzamais vakuums ir  ≤ 2×10</w:t>
      </w:r>
      <w:r w:rsidRPr="00562D97">
        <w:rPr>
          <w:vertAlign w:val="superscript"/>
        </w:rPr>
        <w:t>-3</w:t>
      </w:r>
      <w:r w:rsidRPr="00562D97">
        <w:t xml:space="preserve"> mbar.</w:t>
      </w:r>
    </w:p>
    <w:p w:rsidR="00562D97" w:rsidRPr="00562D97" w:rsidRDefault="00562D97" w:rsidP="00562D97">
      <w:pPr>
        <w:pStyle w:val="BodyText"/>
      </w:pPr>
    </w:p>
    <w:p w:rsidR="00562D97" w:rsidRPr="00562D97" w:rsidRDefault="00562D97" w:rsidP="00562D97">
      <w:pPr>
        <w:pStyle w:val="BodyText"/>
        <w:numPr>
          <w:ilvl w:val="0"/>
          <w:numId w:val="3"/>
        </w:numPr>
        <w:rPr>
          <w:i/>
        </w:rPr>
      </w:pPr>
      <w:r w:rsidRPr="00562D97">
        <w:rPr>
          <w:i/>
        </w:rPr>
        <w:t>“Lūdzam iepirkuma komisiju apstiprināt, ka iepirkuma 1. daļas tehniskajā specifikācijā norādītā prasība 1.8. “Dilatometrijas modulis” apraksta iespēju termisko raksturlielumu noteikšanas iekārtu nākotnē papildināt ar dilatometrijas moduli ar 1.8. punktā aprakstīto funkcionalitāti, tā kā iepirkuma 1. daļas mērķis, saskaņā ar specifikācijas 1. punktu, ir iepirkt iekārtu, kas paredzēta šo termisko raksturlielumu noteikšanai: siltuma ietilpībai, temperatūrvadītspējai un siltuma vadītspējai”.</w:t>
      </w:r>
    </w:p>
    <w:p w:rsidR="00562D97" w:rsidRPr="00562D97" w:rsidRDefault="00562D97" w:rsidP="00562D97">
      <w:pPr>
        <w:pStyle w:val="BodyText"/>
        <w:ind w:left="709"/>
        <w:rPr>
          <w:u w:val="single"/>
        </w:rPr>
      </w:pPr>
      <w:r w:rsidRPr="00562D97">
        <w:rPr>
          <w:u w:val="single"/>
        </w:rPr>
        <w:t>Atbilde</w:t>
      </w:r>
    </w:p>
    <w:p w:rsidR="00562D97" w:rsidRPr="00562D97" w:rsidRDefault="00562D97" w:rsidP="00562D97">
      <w:pPr>
        <w:pStyle w:val="BodyText"/>
        <w:ind w:left="709"/>
      </w:pPr>
      <w:r w:rsidRPr="00562D97">
        <w:t>Iepirkuma 1.daļa paredz iepirkt iekārtu materiālu termisko raksturlielumu (siltuma ietilpība, temperatūrvadītspēja</w:t>
      </w:r>
      <w:bookmarkStart w:id="0" w:name="_GoBack"/>
      <w:bookmarkEnd w:id="0"/>
      <w:r w:rsidRPr="00562D97">
        <w:t>, siltuma vadītspēja) noteikšanai. Daļa no raksturlielumiem uzskaitīti iekavās. Tehniskajā specifikācijā 1.8.punktā ir uzskaitīts arī tāds termiskais raksturlielums paraugam kā termiskā izplešanās/saraušanās. Šī raksturlieluma noteikšanu nodrošina 1.8.punktā aprakstītais dilatometrijas modulis.</w:t>
      </w:r>
    </w:p>
    <w:p w:rsidR="00562D97" w:rsidRPr="00562D97" w:rsidRDefault="00562D97" w:rsidP="00D927AE">
      <w:pPr>
        <w:pStyle w:val="BodyText"/>
      </w:pPr>
    </w:p>
    <w:sectPr w:rsidR="00562D97" w:rsidRPr="00562D9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09A" w:rsidRDefault="0032309A" w:rsidP="003B69F4">
      <w:r>
        <w:separator/>
      </w:r>
    </w:p>
  </w:endnote>
  <w:endnote w:type="continuationSeparator" w:id="0">
    <w:p w:rsidR="0032309A" w:rsidRDefault="0032309A" w:rsidP="003B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09A" w:rsidRDefault="0032309A" w:rsidP="003B69F4">
      <w:r>
        <w:separator/>
      </w:r>
    </w:p>
  </w:footnote>
  <w:footnote w:type="continuationSeparator" w:id="0">
    <w:p w:rsidR="0032309A" w:rsidRDefault="0032309A" w:rsidP="003B6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4714D"/>
    <w:multiLevelType w:val="hybridMultilevel"/>
    <w:tmpl w:val="488A48D8"/>
    <w:lvl w:ilvl="0" w:tplc="DBB675E6">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1FF173E"/>
    <w:multiLevelType w:val="multilevel"/>
    <w:tmpl w:val="FAE238D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2E42F0"/>
    <w:multiLevelType w:val="hybridMultilevel"/>
    <w:tmpl w:val="2BB2A0E0"/>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E530EB1"/>
    <w:multiLevelType w:val="multilevel"/>
    <w:tmpl w:val="844033F6"/>
    <w:lvl w:ilvl="0">
      <w:start w:val="1"/>
      <w:numFmt w:val="decimal"/>
      <w:lvlText w:val="%1."/>
      <w:lvlJc w:val="left"/>
      <w:pPr>
        <w:ind w:left="360" w:hanging="360"/>
      </w:pPr>
      <w:rPr>
        <w:rFonts w:hint="default"/>
      </w:rPr>
    </w:lvl>
    <w:lvl w:ilvl="1">
      <w:start w:val="1"/>
      <w:numFmt w:val="decimal"/>
      <w:lvlText w:val="%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07"/>
    <w:rsid w:val="000D5573"/>
    <w:rsid w:val="001208F1"/>
    <w:rsid w:val="001C6C0F"/>
    <w:rsid w:val="002C16EF"/>
    <w:rsid w:val="002E59E7"/>
    <w:rsid w:val="0032309A"/>
    <w:rsid w:val="00334841"/>
    <w:rsid w:val="003B69F4"/>
    <w:rsid w:val="0041359B"/>
    <w:rsid w:val="005323FB"/>
    <w:rsid w:val="00562D97"/>
    <w:rsid w:val="005D4862"/>
    <w:rsid w:val="0060729E"/>
    <w:rsid w:val="0062180D"/>
    <w:rsid w:val="00756FE0"/>
    <w:rsid w:val="008A1F7E"/>
    <w:rsid w:val="008B368B"/>
    <w:rsid w:val="00957CDE"/>
    <w:rsid w:val="00A71E07"/>
    <w:rsid w:val="00BE1C1D"/>
    <w:rsid w:val="00BE3B64"/>
    <w:rsid w:val="00CD5667"/>
    <w:rsid w:val="00D927AE"/>
    <w:rsid w:val="00DE1015"/>
    <w:rsid w:val="00E830A1"/>
    <w:rsid w:val="00EC05BD"/>
    <w:rsid w:val="00FB0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A98EE-2D8A-4607-BEBC-C7A6A18C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E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9F4"/>
    <w:pPr>
      <w:tabs>
        <w:tab w:val="center" w:pos="4153"/>
        <w:tab w:val="right" w:pos="8306"/>
      </w:tabs>
    </w:pPr>
  </w:style>
  <w:style w:type="character" w:customStyle="1" w:styleId="HeaderChar">
    <w:name w:val="Header Char"/>
    <w:basedOn w:val="DefaultParagraphFont"/>
    <w:link w:val="Header"/>
    <w:uiPriority w:val="99"/>
    <w:rsid w:val="003B69F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B69F4"/>
    <w:pPr>
      <w:tabs>
        <w:tab w:val="center" w:pos="4153"/>
        <w:tab w:val="right" w:pos="8306"/>
      </w:tabs>
    </w:pPr>
  </w:style>
  <w:style w:type="character" w:customStyle="1" w:styleId="FooterChar">
    <w:name w:val="Footer Char"/>
    <w:basedOn w:val="DefaultParagraphFont"/>
    <w:link w:val="Footer"/>
    <w:uiPriority w:val="99"/>
    <w:rsid w:val="003B69F4"/>
    <w:rPr>
      <w:rFonts w:ascii="Times New Roman" w:eastAsia="Times New Roman" w:hAnsi="Times New Roman" w:cs="Times New Roman"/>
      <w:sz w:val="24"/>
      <w:szCs w:val="24"/>
      <w:lang w:val="en-GB"/>
    </w:rPr>
  </w:style>
  <w:style w:type="paragraph" w:customStyle="1" w:styleId="CharCharRakstzRakstzCharChar">
    <w:name w:val="Char Char Rakstz. Rakstz. Char Char"/>
    <w:basedOn w:val="Normal"/>
    <w:rsid w:val="008A1F7E"/>
    <w:pPr>
      <w:spacing w:after="160" w:line="240" w:lineRule="exact"/>
    </w:pPr>
    <w:rPr>
      <w:rFonts w:ascii="Tahoma" w:hAnsi="Tahoma"/>
      <w:sz w:val="20"/>
      <w:szCs w:val="20"/>
      <w:lang w:val="en-US"/>
    </w:rPr>
  </w:style>
  <w:style w:type="paragraph" w:styleId="BodyText">
    <w:name w:val="Body Text"/>
    <w:basedOn w:val="Normal"/>
    <w:link w:val="BodyTextChar"/>
    <w:rsid w:val="008A1F7E"/>
    <w:pPr>
      <w:jc w:val="both"/>
    </w:pPr>
    <w:rPr>
      <w:szCs w:val="20"/>
      <w:lang w:val="lv-LV"/>
    </w:rPr>
  </w:style>
  <w:style w:type="character" w:customStyle="1" w:styleId="BodyTextChar">
    <w:name w:val="Body Text Char"/>
    <w:basedOn w:val="DefaultParagraphFont"/>
    <w:link w:val="BodyText"/>
    <w:rsid w:val="008A1F7E"/>
    <w:rPr>
      <w:rFonts w:ascii="Times New Roman" w:eastAsia="Times New Roman" w:hAnsi="Times New Roman" w:cs="Times New Roman"/>
      <w:sz w:val="24"/>
      <w:szCs w:val="20"/>
    </w:rPr>
  </w:style>
  <w:style w:type="paragraph" w:customStyle="1" w:styleId="CharCharRakstzRakstzCharChar0">
    <w:name w:val="Char Char Rakstz. Rakstz. Char Char"/>
    <w:basedOn w:val="Normal"/>
    <w:rsid w:val="00D927AE"/>
    <w:pPr>
      <w:spacing w:after="160" w:line="240" w:lineRule="exac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9EB42-6E38-4DEF-B5B8-380062ED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2406</Words>
  <Characters>1372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 Veikšāne</cp:lastModifiedBy>
  <cp:revision>3</cp:revision>
  <dcterms:created xsi:type="dcterms:W3CDTF">2015-06-01T09:27:00Z</dcterms:created>
  <dcterms:modified xsi:type="dcterms:W3CDTF">2015-06-01T09:35:00Z</dcterms:modified>
</cp:coreProperties>
</file>