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4A" w:rsidRPr="003B4193" w:rsidRDefault="005F674A" w:rsidP="005F674A">
      <w:pPr>
        <w:keepNext/>
        <w:spacing w:after="0" w:line="240" w:lineRule="auto"/>
        <w:jc w:val="center"/>
        <w:outlineLvl w:val="4"/>
        <w:rPr>
          <w:rFonts w:ascii="Times New Roman" w:eastAsia="Times New Roman" w:hAnsi="Times New Roman" w:cs="Times New Roman"/>
          <w:sz w:val="28"/>
          <w:szCs w:val="28"/>
        </w:rPr>
      </w:pPr>
    </w:p>
    <w:p w:rsidR="005F674A" w:rsidRPr="003B4193" w:rsidRDefault="005F674A" w:rsidP="005F674A">
      <w:pPr>
        <w:spacing w:after="0" w:line="240" w:lineRule="auto"/>
        <w:jc w:val="right"/>
        <w:rPr>
          <w:rFonts w:ascii="Times New Roman" w:eastAsia="Times New Roman" w:hAnsi="Times New Roman" w:cs="Times New Roman"/>
          <w:b/>
          <w:sz w:val="24"/>
          <w:szCs w:val="24"/>
        </w:rPr>
      </w:pPr>
    </w:p>
    <w:p w:rsidR="005F674A" w:rsidRPr="005F674A" w:rsidRDefault="005F674A" w:rsidP="005F674A">
      <w:pPr>
        <w:spacing w:after="0" w:line="240" w:lineRule="auto"/>
        <w:jc w:val="right"/>
        <w:rPr>
          <w:rFonts w:ascii="Times New Roman" w:eastAsia="Times New Roman" w:hAnsi="Times New Roman" w:cs="Times New Roman"/>
          <w:i/>
          <w:sz w:val="24"/>
          <w:szCs w:val="24"/>
        </w:rPr>
      </w:pPr>
      <w:r w:rsidRPr="005F674A">
        <w:rPr>
          <w:rFonts w:ascii="Times New Roman" w:eastAsia="Times New Roman" w:hAnsi="Times New Roman" w:cs="Times New Roman"/>
          <w:b/>
          <w:i/>
          <w:sz w:val="24"/>
          <w:szCs w:val="24"/>
        </w:rPr>
        <w:t xml:space="preserve">  </w:t>
      </w:r>
    </w:p>
    <w:p w:rsidR="005F674A" w:rsidRPr="005F674A" w:rsidRDefault="005F674A" w:rsidP="005F674A">
      <w:pPr>
        <w:spacing w:after="0" w:line="240" w:lineRule="auto"/>
        <w:jc w:val="right"/>
        <w:rPr>
          <w:rFonts w:ascii="Times New Roman" w:eastAsia="Times New Roman" w:hAnsi="Times New Roman" w:cs="Times New Roman"/>
          <w:i/>
          <w:sz w:val="24"/>
          <w:szCs w:val="24"/>
        </w:rPr>
      </w:pPr>
      <w:r w:rsidRPr="005F674A">
        <w:rPr>
          <w:rFonts w:ascii="Times New Roman" w:eastAsia="Times New Roman" w:hAnsi="Times New Roman" w:cs="Times New Roman"/>
          <w:i/>
          <w:sz w:val="24"/>
          <w:szCs w:val="24"/>
        </w:rPr>
        <w:t xml:space="preserve">Par atklāta konkursa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“Pētnieciskā aparatūra ERAF 2.1.1.3.1. </w:t>
      </w:r>
      <w:proofErr w:type="spellStart"/>
      <w:r w:rsidRPr="005F674A">
        <w:rPr>
          <w:rFonts w:ascii="Times New Roman" w:hAnsi="Times New Roman" w:cs="Times New Roman"/>
          <w:i/>
        </w:rPr>
        <w:t>apakšaktivitātes</w:t>
      </w:r>
      <w:proofErr w:type="spellEnd"/>
      <w:r w:rsidRPr="005F674A">
        <w:rPr>
          <w:rFonts w:ascii="Times New Roman" w:hAnsi="Times New Roman" w:cs="Times New Roman"/>
          <w:i/>
        </w:rPr>
        <w:t xml:space="preserve">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 „Zinātnes infrastruktūras attīstība” projekta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„Enerģijas un vides resursu ieguves un ilgtspējīgas</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 izmantošanas tehnoloģiju valsts nozīmes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pētniecības centra izveide</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 (ietverot arī Transporta un mašīnbūves centra attīstību)”</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 un „</w:t>
      </w:r>
      <w:proofErr w:type="spellStart"/>
      <w:r w:rsidRPr="005F674A">
        <w:rPr>
          <w:rFonts w:ascii="Times New Roman" w:hAnsi="Times New Roman" w:cs="Times New Roman"/>
          <w:i/>
        </w:rPr>
        <w:t>Nanostrukturēto</w:t>
      </w:r>
      <w:proofErr w:type="spellEnd"/>
      <w:r w:rsidRPr="005F674A">
        <w:rPr>
          <w:rFonts w:ascii="Times New Roman" w:hAnsi="Times New Roman" w:cs="Times New Roman"/>
          <w:i/>
        </w:rPr>
        <w:t xml:space="preserve"> un daudzfunkcionālo materiālu,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 xml:space="preserve">konstrukciju un tehnoloģiju Valsts nozīmes </w:t>
      </w:r>
    </w:p>
    <w:p w:rsidR="005F674A" w:rsidRPr="005F674A" w:rsidRDefault="005F674A" w:rsidP="005F674A">
      <w:pPr>
        <w:spacing w:after="0" w:line="240" w:lineRule="auto"/>
        <w:jc w:val="right"/>
        <w:rPr>
          <w:rFonts w:ascii="Times New Roman" w:hAnsi="Times New Roman" w:cs="Times New Roman"/>
          <w:i/>
        </w:rPr>
      </w:pPr>
      <w:r w:rsidRPr="005F674A">
        <w:rPr>
          <w:rFonts w:ascii="Times New Roman" w:hAnsi="Times New Roman" w:cs="Times New Roman"/>
          <w:i/>
        </w:rPr>
        <w:t>pētniecības centra zinātniskās infrastruktūras</w:t>
      </w:r>
    </w:p>
    <w:p w:rsidR="005F674A" w:rsidRPr="005F674A" w:rsidRDefault="005F674A" w:rsidP="005F674A">
      <w:pPr>
        <w:spacing w:after="0" w:line="240" w:lineRule="auto"/>
        <w:jc w:val="right"/>
        <w:rPr>
          <w:rFonts w:ascii="Times New Roman" w:eastAsia="Times New Roman" w:hAnsi="Times New Roman" w:cs="Times New Roman"/>
          <w:i/>
          <w:sz w:val="24"/>
          <w:szCs w:val="24"/>
          <w:lang w:eastAsia="lv-LV"/>
        </w:rPr>
      </w:pPr>
      <w:r w:rsidRPr="005F674A">
        <w:rPr>
          <w:rFonts w:ascii="Times New Roman" w:hAnsi="Times New Roman" w:cs="Times New Roman"/>
          <w:i/>
        </w:rPr>
        <w:t xml:space="preserve"> attīstīšana” vajadzībām”</w:t>
      </w:r>
      <w:r w:rsidRPr="005F674A">
        <w:rPr>
          <w:rFonts w:ascii="Times New Roman" w:eastAsia="Times New Roman" w:hAnsi="Times New Roman" w:cs="Times New Roman"/>
          <w:i/>
          <w:sz w:val="24"/>
          <w:szCs w:val="24"/>
          <w:lang w:eastAsia="lv-LV"/>
        </w:rPr>
        <w:t>”</w:t>
      </w:r>
    </w:p>
    <w:p w:rsidR="005F674A" w:rsidRPr="005F674A" w:rsidRDefault="005F674A" w:rsidP="005F674A">
      <w:pPr>
        <w:spacing w:after="0" w:line="240" w:lineRule="auto"/>
        <w:jc w:val="right"/>
        <w:rPr>
          <w:rFonts w:ascii="Times New Roman" w:eastAsia="Times New Roman" w:hAnsi="Times New Roman" w:cs="Times New Roman"/>
          <w:bCs/>
          <w:i/>
          <w:sz w:val="24"/>
          <w:szCs w:val="24"/>
          <w:lang w:val="de-DE" w:eastAsia="lv-LV" w:bidi="he-IL"/>
        </w:rPr>
      </w:pPr>
      <w:r w:rsidRPr="005F674A">
        <w:rPr>
          <w:rFonts w:ascii="Times New Roman" w:eastAsia="Times New Roman" w:hAnsi="Times New Roman" w:cs="Times New Roman"/>
          <w:i/>
          <w:sz w:val="24"/>
          <w:szCs w:val="24"/>
          <w:lang w:eastAsia="lv-LV"/>
        </w:rPr>
        <w:t>(turpmāk-Konkurss)</w:t>
      </w:r>
    </w:p>
    <w:p w:rsidR="005F674A" w:rsidRPr="005F674A" w:rsidRDefault="005F674A" w:rsidP="005F674A">
      <w:pPr>
        <w:spacing w:after="0" w:line="240" w:lineRule="auto"/>
        <w:jc w:val="right"/>
        <w:rPr>
          <w:rFonts w:ascii="Times New Roman" w:eastAsia="Times New Roman" w:hAnsi="Times New Roman" w:cs="Times New Roman"/>
          <w:bCs/>
          <w:i/>
          <w:sz w:val="24"/>
          <w:szCs w:val="24"/>
          <w:lang w:val="de-DE" w:eastAsia="lv-LV" w:bidi="he-IL"/>
        </w:rPr>
      </w:pPr>
      <w:r w:rsidRPr="005F674A">
        <w:rPr>
          <w:rFonts w:ascii="Times New Roman" w:eastAsia="Times New Roman" w:hAnsi="Times New Roman" w:cs="Times New Roman"/>
          <w:bCs/>
          <w:i/>
          <w:sz w:val="24"/>
          <w:szCs w:val="24"/>
          <w:lang w:val="de-DE" w:eastAsia="lv-LV" w:bidi="he-IL"/>
        </w:rPr>
        <w:t xml:space="preserve"> (</w:t>
      </w:r>
      <w:proofErr w:type="spellStart"/>
      <w:r w:rsidRPr="005F674A">
        <w:rPr>
          <w:rFonts w:ascii="Times New Roman" w:eastAsia="Times New Roman" w:hAnsi="Times New Roman" w:cs="Times New Roman"/>
          <w:bCs/>
          <w:i/>
          <w:sz w:val="24"/>
          <w:szCs w:val="24"/>
          <w:lang w:val="de-DE" w:eastAsia="lv-LV" w:bidi="he-IL"/>
        </w:rPr>
        <w:t>Iepirkuma</w:t>
      </w:r>
      <w:proofErr w:type="spellEnd"/>
      <w:r w:rsidRPr="005F674A">
        <w:rPr>
          <w:rFonts w:ascii="Times New Roman" w:eastAsia="Times New Roman" w:hAnsi="Times New Roman" w:cs="Times New Roman"/>
          <w:bCs/>
          <w:i/>
          <w:sz w:val="24"/>
          <w:szCs w:val="24"/>
          <w:lang w:val="de-DE" w:eastAsia="lv-LV" w:bidi="he-IL"/>
        </w:rPr>
        <w:t xml:space="preserve"> ident. Nr. LU 2015/4_ERAF)</w:t>
      </w:r>
    </w:p>
    <w:p w:rsidR="005F674A" w:rsidRPr="005F674A" w:rsidRDefault="005F674A" w:rsidP="005F674A">
      <w:pPr>
        <w:spacing w:after="0" w:line="240" w:lineRule="auto"/>
        <w:jc w:val="right"/>
        <w:rPr>
          <w:rFonts w:ascii="Times New Roman" w:eastAsia="Times New Roman" w:hAnsi="Times New Roman" w:cs="Times New Roman"/>
          <w:i/>
          <w:sz w:val="24"/>
          <w:szCs w:val="24"/>
        </w:rPr>
      </w:pPr>
      <w:r w:rsidRPr="005F674A">
        <w:rPr>
          <w:rFonts w:ascii="Times New Roman" w:eastAsia="Times New Roman" w:hAnsi="Times New Roman" w:cs="Times New Roman"/>
          <w:bCs/>
          <w:i/>
          <w:sz w:val="24"/>
          <w:szCs w:val="24"/>
          <w:lang w:val="de-DE" w:eastAsia="lv-LV" w:bidi="he-IL"/>
        </w:rPr>
        <w:t xml:space="preserve"> </w:t>
      </w:r>
      <w:proofErr w:type="spellStart"/>
      <w:r w:rsidRPr="005F674A">
        <w:rPr>
          <w:rFonts w:ascii="Times New Roman" w:eastAsia="Times New Roman" w:hAnsi="Times New Roman" w:cs="Times New Roman"/>
          <w:bCs/>
          <w:i/>
          <w:sz w:val="24"/>
          <w:szCs w:val="24"/>
          <w:lang w:val="de-DE" w:eastAsia="lv-LV" w:bidi="he-IL"/>
        </w:rPr>
        <w:t>nolikumā</w:t>
      </w:r>
      <w:proofErr w:type="spellEnd"/>
      <w:r w:rsidRPr="005F674A">
        <w:rPr>
          <w:rFonts w:ascii="Times New Roman" w:eastAsia="Times New Roman" w:hAnsi="Times New Roman" w:cs="Times New Roman"/>
          <w:bCs/>
          <w:i/>
          <w:sz w:val="24"/>
          <w:szCs w:val="24"/>
          <w:lang w:val="de-DE" w:eastAsia="lv-LV" w:bidi="he-IL"/>
        </w:rPr>
        <w:t xml:space="preserve"> </w:t>
      </w:r>
      <w:proofErr w:type="spellStart"/>
      <w:r w:rsidRPr="005F674A">
        <w:rPr>
          <w:rFonts w:ascii="Times New Roman" w:eastAsia="Times New Roman" w:hAnsi="Times New Roman" w:cs="Times New Roman"/>
          <w:bCs/>
          <w:i/>
          <w:sz w:val="24"/>
          <w:szCs w:val="24"/>
          <w:lang w:val="de-DE" w:eastAsia="lv-LV" w:bidi="he-IL"/>
        </w:rPr>
        <w:t>izvirzītām</w:t>
      </w:r>
      <w:proofErr w:type="spellEnd"/>
      <w:r w:rsidRPr="005F674A">
        <w:rPr>
          <w:rFonts w:ascii="Times New Roman" w:eastAsia="Times New Roman" w:hAnsi="Times New Roman" w:cs="Times New Roman"/>
          <w:bCs/>
          <w:i/>
          <w:sz w:val="24"/>
          <w:szCs w:val="24"/>
          <w:lang w:val="de-DE" w:eastAsia="lv-LV" w:bidi="he-IL"/>
        </w:rPr>
        <w:t xml:space="preserve"> </w:t>
      </w:r>
      <w:proofErr w:type="spellStart"/>
      <w:r w:rsidRPr="005F674A">
        <w:rPr>
          <w:rFonts w:ascii="Times New Roman" w:eastAsia="Times New Roman" w:hAnsi="Times New Roman" w:cs="Times New Roman"/>
          <w:bCs/>
          <w:i/>
          <w:sz w:val="24"/>
          <w:szCs w:val="24"/>
          <w:lang w:val="de-DE" w:eastAsia="lv-LV" w:bidi="he-IL"/>
        </w:rPr>
        <w:t>prasībām</w:t>
      </w:r>
      <w:proofErr w:type="spellEnd"/>
    </w:p>
    <w:p w:rsidR="005F674A" w:rsidRPr="003B4193" w:rsidRDefault="005F674A" w:rsidP="005F674A">
      <w:pPr>
        <w:spacing w:after="0" w:line="360" w:lineRule="auto"/>
        <w:jc w:val="both"/>
        <w:rPr>
          <w:rFonts w:ascii="Times New Roman" w:eastAsia="Times New Roman" w:hAnsi="Times New Roman" w:cs="Times New Roman"/>
          <w:i/>
          <w:sz w:val="24"/>
          <w:szCs w:val="24"/>
        </w:rPr>
      </w:pPr>
    </w:p>
    <w:p w:rsidR="005F674A" w:rsidRDefault="005F674A" w:rsidP="005F674A">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5F674A" w:rsidRPr="008B62AB" w:rsidRDefault="005F674A" w:rsidP="000C2B64">
      <w:pPr>
        <w:tabs>
          <w:tab w:val="left" w:pos="56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B62AB">
        <w:rPr>
          <w:rFonts w:ascii="Times New Roman" w:eastAsia="Times New Roman" w:hAnsi="Times New Roman" w:cs="Times New Roman"/>
          <w:sz w:val="24"/>
          <w:szCs w:val="24"/>
          <w:lang w:eastAsia="lv-LV"/>
        </w:rPr>
        <w:t>Atbildot uz 201</w:t>
      </w:r>
      <w:r>
        <w:rPr>
          <w:rFonts w:ascii="Times New Roman" w:eastAsia="Times New Roman" w:hAnsi="Times New Roman" w:cs="Times New Roman"/>
          <w:sz w:val="24"/>
          <w:szCs w:val="24"/>
          <w:lang w:eastAsia="lv-LV"/>
        </w:rPr>
        <w:t>5</w:t>
      </w:r>
      <w:r w:rsidRPr="008B62AB">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17</w:t>
      </w:r>
      <w:r w:rsidRPr="008B62A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februāra  </w:t>
      </w:r>
      <w:r w:rsidRPr="008B62A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 pasta </w:t>
      </w:r>
      <w:r w:rsidRPr="008B62AB">
        <w:rPr>
          <w:rFonts w:ascii="Times New Roman" w:eastAsia="Times New Roman" w:hAnsi="Times New Roman" w:cs="Times New Roman"/>
          <w:sz w:val="24"/>
          <w:szCs w:val="24"/>
          <w:lang w:eastAsia="lv-LV"/>
        </w:rPr>
        <w:t>vēstulē uzdot</w:t>
      </w:r>
      <w:r>
        <w:rPr>
          <w:rFonts w:ascii="Times New Roman" w:eastAsia="Times New Roman" w:hAnsi="Times New Roman" w:cs="Times New Roman"/>
          <w:sz w:val="24"/>
          <w:szCs w:val="24"/>
          <w:lang w:eastAsia="lv-LV"/>
        </w:rPr>
        <w:t>iem</w:t>
      </w:r>
      <w:r w:rsidRPr="008B62AB">
        <w:rPr>
          <w:rFonts w:ascii="Times New Roman" w:eastAsia="Times New Roman" w:hAnsi="Times New Roman" w:cs="Times New Roman"/>
          <w:sz w:val="24"/>
          <w:szCs w:val="24"/>
          <w:lang w:eastAsia="lv-LV"/>
        </w:rPr>
        <w:t xml:space="preserve"> jautājum</w:t>
      </w:r>
      <w:r>
        <w:rPr>
          <w:rFonts w:ascii="Times New Roman" w:eastAsia="Times New Roman" w:hAnsi="Times New Roman" w:cs="Times New Roman"/>
          <w:sz w:val="24"/>
          <w:szCs w:val="24"/>
          <w:lang w:eastAsia="lv-LV"/>
        </w:rPr>
        <w:t>iem</w:t>
      </w:r>
      <w:r w:rsidRPr="008B62AB">
        <w:rPr>
          <w:rFonts w:ascii="Times New Roman" w:eastAsia="Times New Roman" w:hAnsi="Times New Roman" w:cs="Times New Roman"/>
          <w:sz w:val="24"/>
          <w:szCs w:val="24"/>
          <w:lang w:eastAsia="lv-LV"/>
        </w:rPr>
        <w:t xml:space="preserve">, sniedzam skaidrojumu par </w:t>
      </w:r>
      <w:r>
        <w:rPr>
          <w:rFonts w:ascii="Times New Roman" w:eastAsia="Times New Roman" w:hAnsi="Times New Roman" w:cs="Times New Roman"/>
          <w:sz w:val="24"/>
          <w:szCs w:val="24"/>
          <w:lang w:eastAsia="lv-LV"/>
        </w:rPr>
        <w:t>Konkursa nolikumā</w:t>
      </w:r>
      <w:r w:rsidRPr="008B62AB">
        <w:rPr>
          <w:rFonts w:ascii="Times New Roman" w:eastAsia="Times New Roman" w:hAnsi="Times New Roman" w:cs="Times New Roman"/>
          <w:sz w:val="24"/>
          <w:szCs w:val="24"/>
          <w:lang w:eastAsia="lv-LV"/>
        </w:rPr>
        <w:t xml:space="preserve"> (turpmāk-Nolikums) izvirzītajām tehniskās atbilstības prasībām</w:t>
      </w:r>
      <w:r w:rsidRPr="008B62AB">
        <w:rPr>
          <w:rFonts w:ascii="Times New Roman" w:eastAsia="Times New Roman" w:hAnsi="Times New Roman" w:cs="Times New Roman"/>
          <w:bCs/>
          <w:sz w:val="24"/>
          <w:szCs w:val="24"/>
          <w:lang w:eastAsia="lv-LV"/>
        </w:rPr>
        <w:t xml:space="preserve">, proti, </w:t>
      </w:r>
      <w:r w:rsidRPr="008B62AB">
        <w:rPr>
          <w:rFonts w:ascii="Times New Roman" w:eastAsia="Times New Roman" w:hAnsi="Times New Roman" w:cs="Times New Roman"/>
          <w:sz w:val="24"/>
          <w:szCs w:val="24"/>
          <w:lang w:eastAsia="lv-LV"/>
        </w:rPr>
        <w:t>par uzdotiem jautājumiem:</w:t>
      </w:r>
    </w:p>
    <w:p w:rsidR="000C2B64" w:rsidRPr="000C2B64" w:rsidRDefault="005F674A" w:rsidP="000C2B64">
      <w:pPr>
        <w:ind w:firstLine="1134"/>
        <w:jc w:val="both"/>
        <w:rPr>
          <w:rFonts w:ascii="Times New Roman" w:hAnsi="Times New Roman" w:cs="Times New Roman"/>
          <w:sz w:val="24"/>
          <w:szCs w:val="24"/>
        </w:rPr>
      </w:pPr>
      <w:r w:rsidRPr="000C2B64">
        <w:rPr>
          <w:rFonts w:ascii="Times New Roman" w:eastAsia="Cambria" w:hAnsi="Times New Roman" w:cs="Times New Roman"/>
          <w:b/>
          <w:i/>
          <w:color w:val="000000"/>
          <w:lang w:eastAsia="lv-LV"/>
        </w:rPr>
        <w:t>„1.”[..] iepirkumā 3.daļā punktos 1.17.,1.18. un 1.19. ir minēti tīģeļi dažādu materiālu iztvaicēšanai. Lūdzam precizēt, kādam nolūkam tie tīģeļi ir paredzēti, ja sistēmai ir paredzēti 2X termiskie avoti un viens magnetrons. Lūdzam Pasūtītāju plašāk precizēt vai tiem tīģeļiem jābūt savienotiem ar kādu no trim avotiem?</w:t>
      </w:r>
      <w:r w:rsidR="00DB53B5" w:rsidRPr="000C2B64">
        <w:rPr>
          <w:rFonts w:ascii="Times New Roman" w:eastAsia="Cambria" w:hAnsi="Times New Roman" w:cs="Times New Roman"/>
          <w:b/>
          <w:i/>
          <w:color w:val="000000"/>
          <w:lang w:eastAsia="lv-LV"/>
        </w:rPr>
        <w:t>”</w:t>
      </w:r>
      <w:r w:rsidRPr="000C2B64">
        <w:rPr>
          <w:rFonts w:ascii="Times New Roman" w:eastAsia="Cambria" w:hAnsi="Times New Roman" w:cs="Times New Roman"/>
          <w:b/>
          <w:i/>
          <w:color w:val="000000"/>
          <w:lang w:eastAsia="lv-LV"/>
        </w:rPr>
        <w:t xml:space="preserve">, </w:t>
      </w:r>
      <w:r w:rsidRPr="000C2B64">
        <w:rPr>
          <w:rFonts w:ascii="Times New Roman" w:eastAsia="Cambria" w:hAnsi="Times New Roman" w:cs="Times New Roman"/>
          <w:color w:val="000000"/>
          <w:sz w:val="24"/>
          <w:szCs w:val="24"/>
          <w:lang w:eastAsia="lv-LV"/>
        </w:rPr>
        <w:t>paskaidrojam, ka</w:t>
      </w:r>
      <w:r w:rsidR="00DB53B5" w:rsidRPr="000C2B64">
        <w:rPr>
          <w:rFonts w:ascii="Times New Roman" w:eastAsia="Cambria" w:hAnsi="Times New Roman" w:cs="Times New Roman"/>
          <w:color w:val="000000"/>
          <w:sz w:val="24"/>
          <w:szCs w:val="24"/>
          <w:lang w:eastAsia="lv-LV"/>
        </w:rPr>
        <w:t xml:space="preserve"> </w:t>
      </w:r>
      <w:r w:rsidR="000C2B64" w:rsidRPr="000C2B64">
        <w:rPr>
          <w:rFonts w:ascii="Times New Roman" w:hAnsi="Times New Roman" w:cs="Times New Roman"/>
          <w:sz w:val="24"/>
          <w:szCs w:val="24"/>
        </w:rPr>
        <w:t>minētie tīģeļi nepieciešamai liela daudzuma materiālu iztvaicēšanai biezu kārtiņu veidošanai, jo tajos var ievietot lielāku daudzumu vielas salīdzinājumā ar laiviņām.  Tīģeļi paredzēti savienošanai ar termiskajiem avotiem.</w:t>
      </w:r>
    </w:p>
    <w:p w:rsidR="005F674A" w:rsidRDefault="000C2B64" w:rsidP="005F674A">
      <w:pPr>
        <w:pStyle w:val="Paraststmeklis"/>
        <w:spacing w:after="0" w:line="240" w:lineRule="auto"/>
        <w:jc w:val="both"/>
        <w:rPr>
          <w:rFonts w:eastAsia="Cambria"/>
          <w:b/>
          <w:i/>
          <w:color w:val="000000"/>
          <w:lang w:eastAsia="lv-LV"/>
        </w:rPr>
      </w:pPr>
      <w:r>
        <w:rPr>
          <w:rFonts w:eastAsia="Cambria"/>
          <w:b/>
          <w:i/>
          <w:color w:val="000000"/>
          <w:lang w:eastAsia="lv-LV"/>
        </w:rPr>
        <w:t xml:space="preserve">                  „</w:t>
      </w:r>
      <w:r w:rsidR="005F674A">
        <w:rPr>
          <w:rFonts w:eastAsia="Cambria"/>
          <w:b/>
          <w:i/>
          <w:color w:val="000000"/>
          <w:lang w:eastAsia="lv-LV"/>
        </w:rPr>
        <w:t>2.[..]  iepirkumā 3.daļā punktos 1.20 un 1.21.[..]ir minētas laiviņas dažādu materiālu iztvaicēšanai.</w:t>
      </w:r>
      <w:r w:rsidR="00DB53B5">
        <w:rPr>
          <w:rFonts w:eastAsia="Cambria"/>
          <w:b/>
          <w:i/>
          <w:color w:val="000000"/>
          <w:lang w:eastAsia="lv-LV"/>
        </w:rPr>
        <w:t xml:space="preserve"> Lūdzam precizēt kādam nolūkam laiviņas ir paredzētas, ja sistēmai ir paredzēti 2x termiskie avoti un viens magnetrons. Lūdzam, [..] plašāk precizēt vai laiviņām jābūt savienotām ar kādu no trim avotiem?”, </w:t>
      </w:r>
      <w:r w:rsidR="00DB53B5" w:rsidRPr="00DB53B5">
        <w:rPr>
          <w:rFonts w:eastAsia="Cambria"/>
          <w:color w:val="000000"/>
          <w:lang w:eastAsia="lv-LV"/>
        </w:rPr>
        <w:t>paskaidrojam, ka</w:t>
      </w:r>
      <w:r w:rsidRPr="000C2B64">
        <w:t xml:space="preserve"> </w:t>
      </w:r>
      <w:r>
        <w:t>laiviņas ir paredzētas materiālu iztvaicēšanai un tām jābūt savienojamām ar termiskajiem avotiem</w:t>
      </w:r>
      <w:r w:rsidR="003357F6">
        <w:rPr>
          <w:rFonts w:eastAsia="Cambria"/>
          <w:color w:val="000000"/>
          <w:lang w:eastAsia="lv-LV"/>
        </w:rPr>
        <w:t>.</w:t>
      </w:r>
    </w:p>
    <w:p w:rsidR="005F674A" w:rsidRDefault="005F674A" w:rsidP="005F674A">
      <w:pPr>
        <w:pStyle w:val="Paraststmeklis"/>
        <w:spacing w:after="0" w:line="240" w:lineRule="auto"/>
        <w:rPr>
          <w:rFonts w:eastAsia="Cambria"/>
          <w:b/>
          <w:i/>
          <w:color w:val="000000"/>
          <w:lang w:eastAsia="lv-LV"/>
        </w:rPr>
      </w:pPr>
      <w:bookmarkStart w:id="0" w:name="_GoBack"/>
      <w:bookmarkEnd w:id="0"/>
    </w:p>
    <w:p w:rsidR="005F674A" w:rsidRDefault="005F674A" w:rsidP="005F674A">
      <w:pPr>
        <w:pStyle w:val="Paraststmeklis"/>
        <w:spacing w:after="0" w:line="240" w:lineRule="auto"/>
        <w:rPr>
          <w:rFonts w:eastAsia="Cambria"/>
          <w:b/>
          <w:i/>
          <w:color w:val="000000"/>
          <w:lang w:eastAsia="lv-LV"/>
        </w:rPr>
      </w:pPr>
    </w:p>
    <w:p w:rsidR="005F674A" w:rsidRPr="00C8229A" w:rsidRDefault="005F674A" w:rsidP="005F674A">
      <w:pPr>
        <w:rPr>
          <w:rFonts w:ascii="Times New Roman" w:hAnsi="Times New Roman" w:cs="Times New Roman"/>
          <w:sz w:val="24"/>
          <w:szCs w:val="24"/>
        </w:rPr>
      </w:pPr>
    </w:p>
    <w:p w:rsidR="005F674A" w:rsidRDefault="005F674A" w:rsidP="005F674A"/>
    <w:p w:rsidR="005F674A" w:rsidRDefault="005F674A" w:rsidP="005F674A"/>
    <w:p w:rsidR="005F674A" w:rsidRDefault="005F674A" w:rsidP="005F674A"/>
    <w:p w:rsidR="005F674A" w:rsidRDefault="005F674A" w:rsidP="005F674A"/>
    <w:p w:rsidR="005F674A" w:rsidRDefault="005F674A" w:rsidP="005F674A"/>
    <w:p w:rsidR="005F674A" w:rsidRDefault="005F674A" w:rsidP="005F674A"/>
    <w:p w:rsidR="00220C02" w:rsidRDefault="001E089B"/>
    <w:sectPr w:rsidR="00220C02" w:rsidSect="004A2629">
      <w:headerReference w:type="even" r:id="rId8"/>
      <w:footerReference w:type="even" r:id="rId9"/>
      <w:footerReference w:type="default" r:id="rId10"/>
      <w:pgSz w:w="11909" w:h="16834" w:code="9"/>
      <w:pgMar w:top="899"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9B" w:rsidRDefault="001E089B">
      <w:pPr>
        <w:spacing w:after="0" w:line="240" w:lineRule="auto"/>
      </w:pPr>
      <w:r>
        <w:separator/>
      </w:r>
    </w:p>
  </w:endnote>
  <w:endnote w:type="continuationSeparator" w:id="0">
    <w:p w:rsidR="001E089B" w:rsidRDefault="001E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DB53B5" w:rsidP="004A262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2629" w:rsidRDefault="001E089B" w:rsidP="004A262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1E089B" w:rsidP="004A2629">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9B" w:rsidRDefault="001E089B">
      <w:pPr>
        <w:spacing w:after="0" w:line="240" w:lineRule="auto"/>
      </w:pPr>
      <w:r>
        <w:separator/>
      </w:r>
    </w:p>
  </w:footnote>
  <w:footnote w:type="continuationSeparator" w:id="0">
    <w:p w:rsidR="001E089B" w:rsidRDefault="001E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DB53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4A2629" w:rsidRDefault="001E08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E05"/>
    <w:multiLevelType w:val="hybridMultilevel"/>
    <w:tmpl w:val="BAACE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4A"/>
    <w:rsid w:val="000C2B64"/>
    <w:rsid w:val="001E089B"/>
    <w:rsid w:val="0028076F"/>
    <w:rsid w:val="002F0D21"/>
    <w:rsid w:val="003357F6"/>
    <w:rsid w:val="005F674A"/>
    <w:rsid w:val="00B627FF"/>
    <w:rsid w:val="00CA0116"/>
    <w:rsid w:val="00DB5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74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F67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F674A"/>
  </w:style>
  <w:style w:type="paragraph" w:styleId="Kjene">
    <w:name w:val="footer"/>
    <w:basedOn w:val="Parasts"/>
    <w:link w:val="KjeneRakstz"/>
    <w:uiPriority w:val="99"/>
    <w:semiHidden/>
    <w:unhideWhenUsed/>
    <w:rsid w:val="005F674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F674A"/>
  </w:style>
  <w:style w:type="character" w:styleId="Lappusesnumurs">
    <w:name w:val="page number"/>
    <w:rsid w:val="005F674A"/>
  </w:style>
  <w:style w:type="paragraph" w:styleId="Paraststmeklis">
    <w:name w:val="Normal (Web)"/>
    <w:basedOn w:val="Parasts"/>
    <w:uiPriority w:val="99"/>
    <w:unhideWhenUsed/>
    <w:rsid w:val="005F674A"/>
    <w:rPr>
      <w:rFonts w:ascii="Times New Roman" w:hAnsi="Times New Roman" w:cs="Times New Roman"/>
      <w:sz w:val="24"/>
      <w:szCs w:val="24"/>
    </w:rPr>
  </w:style>
  <w:style w:type="paragraph" w:styleId="Sarakstarindkopa">
    <w:name w:val="List Paragraph"/>
    <w:basedOn w:val="Parasts"/>
    <w:uiPriority w:val="34"/>
    <w:qFormat/>
    <w:rsid w:val="000C2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74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F67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F674A"/>
  </w:style>
  <w:style w:type="paragraph" w:styleId="Kjene">
    <w:name w:val="footer"/>
    <w:basedOn w:val="Parasts"/>
    <w:link w:val="KjeneRakstz"/>
    <w:uiPriority w:val="99"/>
    <w:semiHidden/>
    <w:unhideWhenUsed/>
    <w:rsid w:val="005F674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F674A"/>
  </w:style>
  <w:style w:type="character" w:styleId="Lappusesnumurs">
    <w:name w:val="page number"/>
    <w:rsid w:val="005F674A"/>
  </w:style>
  <w:style w:type="paragraph" w:styleId="Paraststmeklis">
    <w:name w:val="Normal (Web)"/>
    <w:basedOn w:val="Parasts"/>
    <w:uiPriority w:val="99"/>
    <w:unhideWhenUsed/>
    <w:rsid w:val="005F674A"/>
    <w:rPr>
      <w:rFonts w:ascii="Times New Roman" w:hAnsi="Times New Roman" w:cs="Times New Roman"/>
      <w:sz w:val="24"/>
      <w:szCs w:val="24"/>
    </w:rPr>
  </w:style>
  <w:style w:type="paragraph" w:styleId="Sarakstarindkopa">
    <w:name w:val="List Paragraph"/>
    <w:basedOn w:val="Parasts"/>
    <w:uiPriority w:val="34"/>
    <w:qFormat/>
    <w:rsid w:val="000C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2015-02-25T11:16:00Z</dcterms:created>
  <dcterms:modified xsi:type="dcterms:W3CDTF">2015-02-25T11:16:00Z</dcterms:modified>
</cp:coreProperties>
</file>