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92" w:rsidRPr="005B24BD" w:rsidRDefault="00466092" w:rsidP="000067CF">
      <w:pPr>
        <w:ind w:right="-285"/>
        <w:jc w:val="center"/>
        <w:rPr>
          <w:b/>
          <w:bCs/>
          <w:sz w:val="22"/>
          <w:szCs w:val="22"/>
        </w:rPr>
      </w:pPr>
      <w:r w:rsidRPr="005B24BD">
        <w:rPr>
          <w:b/>
          <w:sz w:val="22"/>
          <w:szCs w:val="22"/>
        </w:rPr>
        <w:t xml:space="preserve">Iepirkuma procedūras – atklātā konkursa </w:t>
      </w:r>
    </w:p>
    <w:p w:rsidR="00466092" w:rsidRPr="005B24BD" w:rsidRDefault="00466092" w:rsidP="000067CF">
      <w:pPr>
        <w:jc w:val="center"/>
        <w:rPr>
          <w:b/>
          <w:bCs/>
          <w:sz w:val="22"/>
          <w:szCs w:val="22"/>
        </w:rPr>
      </w:pPr>
      <w:r w:rsidRPr="005B24BD">
        <w:rPr>
          <w:b/>
          <w:bCs/>
          <w:sz w:val="22"/>
          <w:szCs w:val="22"/>
        </w:rPr>
        <w:t>„</w:t>
      </w:r>
      <w:r w:rsidRPr="005B24BD">
        <w:rPr>
          <w:b/>
          <w:sz w:val="22"/>
          <w:szCs w:val="22"/>
        </w:rPr>
        <w:t>Pētnieciskās aparatūras un aprīkojuma (iekārtas) piegāde un uzstādīšana</w:t>
      </w:r>
      <w:r w:rsidRPr="005B24BD">
        <w:rPr>
          <w:b/>
          <w:bCs/>
          <w:sz w:val="22"/>
          <w:szCs w:val="22"/>
        </w:rPr>
        <w:t>”</w:t>
      </w:r>
    </w:p>
    <w:p w:rsidR="00466092" w:rsidRPr="005B24BD" w:rsidRDefault="00466092" w:rsidP="000067CF">
      <w:pPr>
        <w:ind w:right="-285"/>
        <w:jc w:val="center"/>
        <w:rPr>
          <w:b/>
          <w:sz w:val="22"/>
          <w:szCs w:val="22"/>
        </w:rPr>
      </w:pPr>
      <w:r w:rsidRPr="005B24BD">
        <w:rPr>
          <w:b/>
          <w:sz w:val="22"/>
          <w:szCs w:val="22"/>
        </w:rPr>
        <w:t>iepirkuma identifikācijas Nr.</w:t>
      </w:r>
      <w:r w:rsidRPr="005B24BD">
        <w:rPr>
          <w:b/>
          <w:bCs/>
          <w:iCs/>
          <w:sz w:val="22"/>
          <w:szCs w:val="22"/>
        </w:rPr>
        <w:t>201</w:t>
      </w:r>
      <w:r w:rsidR="00690433">
        <w:rPr>
          <w:b/>
          <w:bCs/>
          <w:iCs/>
          <w:sz w:val="22"/>
          <w:szCs w:val="22"/>
        </w:rPr>
        <w:t>5</w:t>
      </w:r>
      <w:r w:rsidRPr="005B24BD">
        <w:rPr>
          <w:b/>
          <w:bCs/>
          <w:iCs/>
          <w:sz w:val="22"/>
          <w:szCs w:val="22"/>
        </w:rPr>
        <w:t>/35_ERAF</w:t>
      </w:r>
      <w:r w:rsidRPr="005B24BD">
        <w:rPr>
          <w:b/>
          <w:sz w:val="22"/>
          <w:szCs w:val="22"/>
        </w:rPr>
        <w:t>,</w:t>
      </w:r>
    </w:p>
    <w:p w:rsidR="00466092" w:rsidRPr="005B24BD" w:rsidRDefault="00466092" w:rsidP="000067CF">
      <w:pPr>
        <w:ind w:right="-285"/>
        <w:jc w:val="center"/>
        <w:rPr>
          <w:b/>
          <w:sz w:val="22"/>
          <w:szCs w:val="22"/>
        </w:rPr>
      </w:pPr>
      <w:r w:rsidRPr="005B24BD">
        <w:rPr>
          <w:b/>
          <w:sz w:val="22"/>
          <w:szCs w:val="22"/>
        </w:rPr>
        <w:t>iepirkuma komisijas sēdes protokols Nr.</w:t>
      </w:r>
      <w:r w:rsidR="00143893">
        <w:rPr>
          <w:b/>
          <w:sz w:val="22"/>
          <w:szCs w:val="22"/>
        </w:rPr>
        <w:t>7</w:t>
      </w:r>
    </w:p>
    <w:p w:rsidR="00A00ACC" w:rsidRPr="005B24BD" w:rsidRDefault="00A00ACC" w:rsidP="000067CF">
      <w:pPr>
        <w:ind w:right="-285"/>
        <w:jc w:val="center"/>
        <w:rPr>
          <w:b/>
          <w:sz w:val="22"/>
          <w:szCs w:val="22"/>
        </w:rPr>
      </w:pPr>
    </w:p>
    <w:p w:rsidR="00466092" w:rsidRPr="005B24BD" w:rsidRDefault="00466092" w:rsidP="000067CF">
      <w:pPr>
        <w:ind w:right="-285"/>
        <w:jc w:val="center"/>
        <w:rPr>
          <w:b/>
          <w:sz w:val="22"/>
          <w:szCs w:val="22"/>
        </w:rPr>
      </w:pPr>
    </w:p>
    <w:p w:rsidR="00466092" w:rsidRPr="005B24BD" w:rsidRDefault="00466092" w:rsidP="000067CF">
      <w:pPr>
        <w:ind w:right="-285"/>
        <w:jc w:val="both"/>
        <w:rPr>
          <w:sz w:val="22"/>
          <w:szCs w:val="22"/>
        </w:rPr>
      </w:pPr>
      <w:r w:rsidRPr="005B24BD">
        <w:rPr>
          <w:sz w:val="22"/>
          <w:szCs w:val="22"/>
        </w:rPr>
        <w:t xml:space="preserve">2015.gada </w:t>
      </w:r>
      <w:r w:rsidR="005B24BD">
        <w:rPr>
          <w:sz w:val="22"/>
          <w:szCs w:val="22"/>
        </w:rPr>
        <w:t>15</w:t>
      </w:r>
      <w:r w:rsidRPr="005B24BD">
        <w:rPr>
          <w:sz w:val="22"/>
          <w:szCs w:val="22"/>
        </w:rPr>
        <w:t>.</w:t>
      </w:r>
      <w:r w:rsidR="000836F3" w:rsidRPr="005B24BD">
        <w:rPr>
          <w:sz w:val="22"/>
          <w:szCs w:val="22"/>
        </w:rPr>
        <w:t>maijā</w:t>
      </w:r>
      <w:r w:rsidRPr="005B24BD">
        <w:rPr>
          <w:sz w:val="22"/>
          <w:szCs w:val="22"/>
        </w:rPr>
        <w:t>, plkst.10:00</w:t>
      </w:r>
    </w:p>
    <w:p w:rsidR="00466092" w:rsidRPr="005B24BD" w:rsidRDefault="00466092">
      <w:pPr>
        <w:ind w:right="-285"/>
        <w:jc w:val="both"/>
        <w:rPr>
          <w:sz w:val="22"/>
          <w:szCs w:val="22"/>
        </w:rPr>
      </w:pPr>
    </w:p>
    <w:p w:rsidR="00466092" w:rsidRPr="005B24BD" w:rsidRDefault="00466092">
      <w:pPr>
        <w:pStyle w:val="ListParagraph2"/>
        <w:tabs>
          <w:tab w:val="num" w:pos="709"/>
        </w:tabs>
        <w:ind w:left="0"/>
        <w:jc w:val="both"/>
        <w:rPr>
          <w:bCs/>
          <w:color w:val="auto"/>
          <w:sz w:val="22"/>
          <w:szCs w:val="22"/>
        </w:rPr>
      </w:pPr>
      <w:r w:rsidRPr="005B24BD">
        <w:rPr>
          <w:b/>
          <w:sz w:val="22"/>
          <w:szCs w:val="22"/>
          <w:u w:val="single"/>
        </w:rPr>
        <w:t>Pasūtītājs</w:t>
      </w:r>
      <w:r w:rsidRPr="005B24BD">
        <w:rPr>
          <w:sz w:val="22"/>
          <w:szCs w:val="22"/>
        </w:rPr>
        <w:t xml:space="preserve">: Latvijas Universitāte, </w:t>
      </w:r>
      <w:r w:rsidRPr="005B24BD">
        <w:rPr>
          <w:bCs/>
          <w:sz w:val="22"/>
          <w:szCs w:val="22"/>
        </w:rPr>
        <w:t>Raiņa bulvāris 19, Rīga, LV</w:t>
      </w:r>
      <w:r w:rsidR="005A7B73">
        <w:rPr>
          <w:bCs/>
          <w:sz w:val="22"/>
          <w:szCs w:val="22"/>
        </w:rPr>
        <w:t>-</w:t>
      </w:r>
      <w:r w:rsidRPr="005B24BD">
        <w:rPr>
          <w:bCs/>
          <w:sz w:val="22"/>
          <w:szCs w:val="22"/>
        </w:rPr>
        <w:t>1586, Latvija</w:t>
      </w:r>
      <w:r w:rsidRPr="005B24BD">
        <w:rPr>
          <w:sz w:val="22"/>
          <w:szCs w:val="22"/>
        </w:rPr>
        <w:t>.</w:t>
      </w:r>
    </w:p>
    <w:p w:rsidR="00466092" w:rsidRPr="005B24BD" w:rsidRDefault="00466092">
      <w:pPr>
        <w:ind w:right="-285"/>
        <w:jc w:val="both"/>
        <w:rPr>
          <w:sz w:val="22"/>
          <w:szCs w:val="22"/>
        </w:rPr>
      </w:pPr>
      <w:r w:rsidRPr="005B24BD">
        <w:rPr>
          <w:b/>
          <w:sz w:val="22"/>
          <w:szCs w:val="22"/>
          <w:u w:val="single"/>
        </w:rPr>
        <w:t>Iepirkuma priekšmets</w:t>
      </w:r>
      <w:r w:rsidRPr="005B24BD">
        <w:rPr>
          <w:sz w:val="22"/>
          <w:szCs w:val="22"/>
        </w:rPr>
        <w:t xml:space="preserve">: Iepirkuma priekšmets ir </w:t>
      </w:r>
      <w:r w:rsidR="00425BDE" w:rsidRPr="005B24BD">
        <w:rPr>
          <w:sz w:val="22"/>
          <w:szCs w:val="22"/>
        </w:rPr>
        <w:t>pētnieciskās aparatūras un aprīkojuma (iekārtas) piegāde un uzstādīšana</w:t>
      </w:r>
      <w:r w:rsidR="001707D2" w:rsidRPr="005B24BD">
        <w:rPr>
          <w:sz w:val="22"/>
          <w:szCs w:val="22"/>
        </w:rPr>
        <w:t>.</w:t>
      </w:r>
    </w:p>
    <w:p w:rsidR="00466092" w:rsidRPr="005B24BD" w:rsidRDefault="00466092">
      <w:pPr>
        <w:ind w:right="-285"/>
        <w:jc w:val="both"/>
        <w:rPr>
          <w:sz w:val="22"/>
          <w:szCs w:val="22"/>
        </w:rPr>
      </w:pPr>
      <w:r w:rsidRPr="005B24BD">
        <w:rPr>
          <w:b/>
          <w:sz w:val="22"/>
          <w:szCs w:val="22"/>
          <w:u w:val="single"/>
        </w:rPr>
        <w:t>Iepirkuma metode un identifikācijas numurs:</w:t>
      </w:r>
      <w:r w:rsidRPr="005B24BD">
        <w:rPr>
          <w:sz w:val="22"/>
          <w:szCs w:val="22"/>
        </w:rPr>
        <w:t xml:space="preserve"> </w:t>
      </w:r>
      <w:r w:rsidR="00D154FC" w:rsidRPr="005B24BD">
        <w:rPr>
          <w:sz w:val="22"/>
          <w:szCs w:val="22"/>
        </w:rPr>
        <w:t>atklāts</w:t>
      </w:r>
      <w:r w:rsidRPr="005B24BD">
        <w:rPr>
          <w:sz w:val="22"/>
          <w:szCs w:val="22"/>
        </w:rPr>
        <w:t xml:space="preserve"> konkurss saskaņā ar Publisko iepirkumu likumu.</w:t>
      </w:r>
    </w:p>
    <w:p w:rsidR="00466092" w:rsidRPr="005B24BD" w:rsidRDefault="00466092">
      <w:pPr>
        <w:ind w:right="-285"/>
        <w:jc w:val="both"/>
        <w:rPr>
          <w:sz w:val="22"/>
          <w:szCs w:val="22"/>
        </w:rPr>
      </w:pPr>
      <w:r w:rsidRPr="005B24BD">
        <w:rPr>
          <w:b/>
          <w:sz w:val="22"/>
          <w:szCs w:val="22"/>
          <w:u w:val="single"/>
        </w:rPr>
        <w:t>Iepirkuma komisija</w:t>
      </w:r>
      <w:r w:rsidRPr="005B24BD">
        <w:rPr>
          <w:sz w:val="22"/>
          <w:szCs w:val="22"/>
        </w:rPr>
        <w:t>: Izveidota pamatojoties uz Latvijas Universitātes 2014.gada 19.decembra rīkojumu Nr.1/365.</w:t>
      </w:r>
      <w:r w:rsidR="00B15CEF" w:rsidRPr="005B24BD">
        <w:rPr>
          <w:sz w:val="22"/>
          <w:szCs w:val="22"/>
        </w:rPr>
        <w:t xml:space="preserve"> </w:t>
      </w:r>
    </w:p>
    <w:p w:rsidR="00466092" w:rsidRPr="005B24BD" w:rsidRDefault="00466092">
      <w:pPr>
        <w:ind w:right="-285"/>
        <w:jc w:val="both"/>
        <w:rPr>
          <w:sz w:val="22"/>
          <w:szCs w:val="22"/>
        </w:rPr>
      </w:pPr>
      <w:r w:rsidRPr="005B24BD">
        <w:rPr>
          <w:sz w:val="22"/>
          <w:szCs w:val="22"/>
        </w:rPr>
        <w:t>Komisijas sastāvs:</w:t>
      </w:r>
    </w:p>
    <w:p w:rsidR="00466092" w:rsidRPr="005B24BD" w:rsidRDefault="00466092">
      <w:pPr>
        <w:pStyle w:val="BodyText"/>
        <w:ind w:right="-285"/>
        <w:rPr>
          <w:sz w:val="22"/>
          <w:szCs w:val="22"/>
        </w:rPr>
      </w:pPr>
      <w:r w:rsidRPr="005B24BD">
        <w:rPr>
          <w:sz w:val="22"/>
          <w:szCs w:val="22"/>
        </w:rPr>
        <w:t xml:space="preserve">Komisijas priekšsēdētājs: </w:t>
      </w:r>
    </w:p>
    <w:p w:rsidR="00466092" w:rsidRPr="005B24BD" w:rsidRDefault="00466092">
      <w:pPr>
        <w:pStyle w:val="BodyText"/>
        <w:ind w:right="-285" w:firstLine="720"/>
        <w:rPr>
          <w:sz w:val="22"/>
          <w:szCs w:val="22"/>
        </w:rPr>
      </w:pPr>
      <w:r w:rsidRPr="005B24BD">
        <w:rPr>
          <w:sz w:val="22"/>
          <w:szCs w:val="22"/>
        </w:rPr>
        <w:t>Indriķis Muižnieks – LU zinātņu prorektors;</w:t>
      </w:r>
    </w:p>
    <w:p w:rsidR="00466092" w:rsidRPr="005B24BD" w:rsidRDefault="00466092">
      <w:pPr>
        <w:pStyle w:val="BodyText"/>
        <w:ind w:right="-285"/>
        <w:rPr>
          <w:sz w:val="22"/>
          <w:szCs w:val="22"/>
        </w:rPr>
      </w:pPr>
      <w:r w:rsidRPr="005B24BD">
        <w:rPr>
          <w:sz w:val="22"/>
          <w:szCs w:val="22"/>
        </w:rPr>
        <w:t>Komisijas priekšsēdētāja vietnieks:</w:t>
      </w:r>
    </w:p>
    <w:p w:rsidR="00466092" w:rsidRPr="005B24BD" w:rsidRDefault="00466092">
      <w:pPr>
        <w:pStyle w:val="BodyText"/>
        <w:ind w:right="-285" w:firstLine="720"/>
        <w:rPr>
          <w:sz w:val="22"/>
          <w:szCs w:val="22"/>
        </w:rPr>
      </w:pPr>
      <w:r w:rsidRPr="005B24BD">
        <w:rPr>
          <w:sz w:val="22"/>
          <w:szCs w:val="22"/>
        </w:rPr>
        <w:t xml:space="preserve">Kitija </w:t>
      </w:r>
      <w:proofErr w:type="spellStart"/>
      <w:r w:rsidRPr="005B24BD">
        <w:rPr>
          <w:sz w:val="22"/>
          <w:szCs w:val="22"/>
        </w:rPr>
        <w:t>Freija</w:t>
      </w:r>
      <w:proofErr w:type="spellEnd"/>
      <w:r w:rsidRPr="005B24BD">
        <w:rPr>
          <w:sz w:val="22"/>
          <w:szCs w:val="22"/>
        </w:rPr>
        <w:t xml:space="preserve"> – LU rektora vietniece infrastruktūras attīstības jautājumos;</w:t>
      </w:r>
    </w:p>
    <w:p w:rsidR="00466092" w:rsidRPr="005B24BD" w:rsidRDefault="00466092">
      <w:pPr>
        <w:pStyle w:val="BodyText"/>
        <w:ind w:right="-285"/>
        <w:rPr>
          <w:sz w:val="22"/>
          <w:szCs w:val="22"/>
        </w:rPr>
      </w:pPr>
      <w:r w:rsidRPr="005B24BD">
        <w:rPr>
          <w:sz w:val="22"/>
          <w:szCs w:val="22"/>
        </w:rPr>
        <w:t>Komisijas locekļi:</w:t>
      </w:r>
    </w:p>
    <w:p w:rsidR="00466092" w:rsidRPr="005B24BD" w:rsidRDefault="00466092">
      <w:pPr>
        <w:ind w:firstLine="709"/>
        <w:jc w:val="both"/>
        <w:rPr>
          <w:sz w:val="22"/>
          <w:szCs w:val="22"/>
        </w:rPr>
      </w:pPr>
      <w:r w:rsidRPr="005B24BD">
        <w:rPr>
          <w:sz w:val="22"/>
          <w:szCs w:val="22"/>
        </w:rPr>
        <w:t xml:space="preserve">Dace Silarāja – LU ķīmijas fakultātes izpilddirektore; </w:t>
      </w:r>
    </w:p>
    <w:p w:rsidR="00466092" w:rsidRPr="005B24BD" w:rsidRDefault="00466092">
      <w:pPr>
        <w:ind w:firstLine="709"/>
        <w:jc w:val="both"/>
        <w:rPr>
          <w:sz w:val="22"/>
          <w:szCs w:val="22"/>
        </w:rPr>
      </w:pPr>
      <w:r w:rsidRPr="005B24BD">
        <w:rPr>
          <w:sz w:val="22"/>
          <w:szCs w:val="22"/>
        </w:rPr>
        <w:t>Imants Klāvs – LU Attīstības un plānošanas departamenta projektu koordinators;</w:t>
      </w:r>
    </w:p>
    <w:p w:rsidR="00466092" w:rsidRPr="005B24BD" w:rsidRDefault="00466092">
      <w:pPr>
        <w:ind w:firstLine="709"/>
        <w:jc w:val="both"/>
        <w:rPr>
          <w:sz w:val="22"/>
          <w:szCs w:val="22"/>
        </w:rPr>
      </w:pPr>
      <w:r w:rsidRPr="005B24BD">
        <w:rPr>
          <w:sz w:val="22"/>
          <w:szCs w:val="22"/>
        </w:rPr>
        <w:t>Matīss Markus –</w:t>
      </w:r>
      <w:r w:rsidRPr="005B24BD">
        <w:rPr>
          <w:b/>
          <w:sz w:val="22"/>
          <w:szCs w:val="22"/>
        </w:rPr>
        <w:t xml:space="preserve"> </w:t>
      </w:r>
      <w:r w:rsidRPr="005B24BD">
        <w:rPr>
          <w:sz w:val="22"/>
          <w:szCs w:val="22"/>
        </w:rPr>
        <w:t>LU Attīstības un plānošanas departamenta finanšu konsultants.</w:t>
      </w:r>
    </w:p>
    <w:p w:rsidR="00466092" w:rsidRPr="005B24BD" w:rsidRDefault="00466092">
      <w:pPr>
        <w:pStyle w:val="BodyText"/>
        <w:ind w:right="-285"/>
        <w:rPr>
          <w:sz w:val="22"/>
          <w:szCs w:val="22"/>
        </w:rPr>
      </w:pPr>
    </w:p>
    <w:p w:rsidR="00466092" w:rsidRPr="005B24BD" w:rsidRDefault="00466092">
      <w:pPr>
        <w:pStyle w:val="BodyText"/>
        <w:ind w:right="-285"/>
        <w:rPr>
          <w:sz w:val="22"/>
          <w:szCs w:val="22"/>
        </w:rPr>
      </w:pPr>
      <w:r w:rsidRPr="005B24BD">
        <w:rPr>
          <w:b/>
          <w:sz w:val="22"/>
          <w:szCs w:val="22"/>
          <w:u w:val="single"/>
        </w:rPr>
        <w:t>Sēdi vada:</w:t>
      </w:r>
      <w:r w:rsidRPr="005B24BD">
        <w:rPr>
          <w:sz w:val="22"/>
          <w:szCs w:val="22"/>
        </w:rPr>
        <w:t xml:space="preserve"> Komisijas priekšsēdētāj</w:t>
      </w:r>
      <w:r w:rsidR="000067CF" w:rsidRPr="005B24BD">
        <w:rPr>
          <w:sz w:val="22"/>
          <w:szCs w:val="22"/>
        </w:rPr>
        <w:t xml:space="preserve">a vietniece Kitija </w:t>
      </w:r>
      <w:proofErr w:type="spellStart"/>
      <w:r w:rsidR="000067CF" w:rsidRPr="005B24BD">
        <w:rPr>
          <w:sz w:val="22"/>
          <w:szCs w:val="22"/>
        </w:rPr>
        <w:t>Freija</w:t>
      </w:r>
      <w:proofErr w:type="spellEnd"/>
      <w:r w:rsidR="000067CF" w:rsidRPr="005B24BD">
        <w:rPr>
          <w:sz w:val="22"/>
          <w:szCs w:val="22"/>
        </w:rPr>
        <w:t>.</w:t>
      </w:r>
      <w:r w:rsidRPr="005B24BD">
        <w:rPr>
          <w:sz w:val="22"/>
          <w:szCs w:val="22"/>
        </w:rPr>
        <w:t xml:space="preserve"> </w:t>
      </w:r>
    </w:p>
    <w:p w:rsidR="00466092" w:rsidRPr="005B24BD" w:rsidRDefault="00466092">
      <w:pPr>
        <w:ind w:right="-285"/>
        <w:jc w:val="both"/>
        <w:rPr>
          <w:sz w:val="22"/>
          <w:szCs w:val="22"/>
          <w:u w:val="single"/>
        </w:rPr>
      </w:pPr>
      <w:r w:rsidRPr="005B24BD">
        <w:rPr>
          <w:b/>
          <w:sz w:val="22"/>
          <w:szCs w:val="22"/>
          <w:u w:val="single"/>
        </w:rPr>
        <w:t>Sēdē piedalās šādi komisijas locekļi</w:t>
      </w:r>
      <w:r w:rsidRPr="005B24BD">
        <w:rPr>
          <w:sz w:val="22"/>
          <w:szCs w:val="22"/>
          <w:u w:val="single"/>
        </w:rPr>
        <w:t>:</w:t>
      </w:r>
    </w:p>
    <w:p w:rsidR="00466092" w:rsidRPr="005B24BD" w:rsidRDefault="00466092">
      <w:pPr>
        <w:pStyle w:val="BodyText"/>
        <w:ind w:right="-285" w:firstLine="709"/>
        <w:outlineLvl w:val="0"/>
        <w:rPr>
          <w:sz w:val="22"/>
          <w:szCs w:val="22"/>
        </w:rPr>
      </w:pPr>
      <w:r w:rsidRPr="005B24BD">
        <w:rPr>
          <w:sz w:val="22"/>
          <w:szCs w:val="22"/>
        </w:rPr>
        <w:t>Imants Klāvs;</w:t>
      </w:r>
    </w:p>
    <w:p w:rsidR="00466092" w:rsidRPr="005B24BD" w:rsidRDefault="00466092">
      <w:pPr>
        <w:pStyle w:val="BodyText"/>
        <w:ind w:right="-285" w:firstLine="709"/>
        <w:outlineLvl w:val="0"/>
        <w:rPr>
          <w:sz w:val="22"/>
          <w:szCs w:val="22"/>
        </w:rPr>
      </w:pPr>
      <w:r w:rsidRPr="005B24BD">
        <w:rPr>
          <w:sz w:val="22"/>
          <w:szCs w:val="22"/>
        </w:rPr>
        <w:t>Dace Silarāja;</w:t>
      </w:r>
    </w:p>
    <w:p w:rsidR="00466092" w:rsidRPr="005B24BD" w:rsidRDefault="00466092">
      <w:pPr>
        <w:pStyle w:val="BodyText"/>
        <w:ind w:right="-285" w:firstLine="709"/>
        <w:outlineLvl w:val="0"/>
        <w:rPr>
          <w:sz w:val="22"/>
          <w:szCs w:val="22"/>
        </w:rPr>
      </w:pPr>
      <w:r w:rsidRPr="005B24BD">
        <w:rPr>
          <w:sz w:val="22"/>
          <w:szCs w:val="22"/>
        </w:rPr>
        <w:t>Matīss Markus.</w:t>
      </w:r>
    </w:p>
    <w:p w:rsidR="00466092" w:rsidRPr="005B24BD" w:rsidRDefault="00466092">
      <w:pPr>
        <w:pStyle w:val="BodyText"/>
        <w:ind w:right="-285"/>
        <w:rPr>
          <w:b/>
          <w:sz w:val="22"/>
          <w:szCs w:val="22"/>
          <w:u w:val="single"/>
        </w:rPr>
      </w:pPr>
      <w:r w:rsidRPr="005B24BD">
        <w:rPr>
          <w:b/>
          <w:sz w:val="22"/>
          <w:szCs w:val="22"/>
          <w:u w:val="single"/>
        </w:rPr>
        <w:t>Sēdē piedalās šādi eksperti bez balsstiesībām:</w:t>
      </w:r>
    </w:p>
    <w:p w:rsidR="00466092" w:rsidRPr="005B24BD" w:rsidRDefault="001F5109">
      <w:pPr>
        <w:pStyle w:val="BodyText"/>
        <w:ind w:right="-285" w:firstLine="720"/>
        <w:rPr>
          <w:sz w:val="22"/>
          <w:szCs w:val="22"/>
          <w:shd w:val="clear" w:color="auto" w:fill="FFFFFF"/>
        </w:rPr>
      </w:pPr>
      <w:r w:rsidRPr="005B24BD">
        <w:rPr>
          <w:sz w:val="22"/>
          <w:szCs w:val="22"/>
          <w:shd w:val="clear" w:color="auto" w:fill="FFFFFF"/>
        </w:rPr>
        <w:t>Jānis Lielpēteris</w:t>
      </w:r>
      <w:r w:rsidR="00466092" w:rsidRPr="005B24BD">
        <w:rPr>
          <w:sz w:val="22"/>
          <w:szCs w:val="22"/>
          <w:shd w:val="clear" w:color="auto" w:fill="FFFFFF"/>
        </w:rPr>
        <w:t xml:space="preserve"> </w:t>
      </w:r>
      <w:r w:rsidR="00466092" w:rsidRPr="005B24BD">
        <w:rPr>
          <w:rFonts w:eastAsia="Calibri"/>
          <w:bCs/>
          <w:sz w:val="22"/>
          <w:szCs w:val="22"/>
        </w:rPr>
        <w:t xml:space="preserve">– </w:t>
      </w:r>
      <w:r w:rsidR="00466092" w:rsidRPr="005B24BD">
        <w:rPr>
          <w:rFonts w:eastAsia="Calibri"/>
          <w:sz w:val="22"/>
          <w:szCs w:val="22"/>
        </w:rPr>
        <w:t xml:space="preserve">Advokātu biroja Kronbergs &amp; </w:t>
      </w:r>
      <w:proofErr w:type="spellStart"/>
      <w:r w:rsidR="00466092" w:rsidRPr="005B24BD">
        <w:rPr>
          <w:rFonts w:eastAsia="Calibri"/>
          <w:bCs/>
          <w:sz w:val="22"/>
          <w:szCs w:val="22"/>
        </w:rPr>
        <w:t>Čukste</w:t>
      </w:r>
      <w:proofErr w:type="spellEnd"/>
      <w:r w:rsidR="00466092" w:rsidRPr="005B24BD">
        <w:rPr>
          <w:rFonts w:eastAsia="Calibri"/>
          <w:sz w:val="22"/>
          <w:szCs w:val="22"/>
        </w:rPr>
        <w:t xml:space="preserve"> jurists.</w:t>
      </w:r>
    </w:p>
    <w:p w:rsidR="00466092" w:rsidRPr="005B24BD" w:rsidRDefault="00466092">
      <w:pPr>
        <w:ind w:right="-285"/>
        <w:jc w:val="both"/>
        <w:outlineLvl w:val="0"/>
        <w:rPr>
          <w:b/>
          <w:sz w:val="22"/>
          <w:szCs w:val="22"/>
          <w:u w:val="single"/>
        </w:rPr>
      </w:pPr>
      <w:r w:rsidRPr="005B24BD">
        <w:rPr>
          <w:b/>
          <w:sz w:val="22"/>
          <w:szCs w:val="22"/>
          <w:u w:val="single"/>
        </w:rPr>
        <w:t>Sēdes darba kārtība:</w:t>
      </w:r>
    </w:p>
    <w:p w:rsidR="001F5109" w:rsidRPr="005B24BD" w:rsidRDefault="005B24BD" w:rsidP="005B24BD">
      <w:pPr>
        <w:pStyle w:val="ListParagraph"/>
        <w:numPr>
          <w:ilvl w:val="0"/>
          <w:numId w:val="6"/>
        </w:numPr>
        <w:tabs>
          <w:tab w:val="left" w:pos="993"/>
        </w:tabs>
        <w:ind w:right="-285"/>
        <w:jc w:val="both"/>
        <w:outlineLvl w:val="0"/>
        <w:rPr>
          <w:sz w:val="22"/>
          <w:szCs w:val="22"/>
        </w:rPr>
      </w:pPr>
      <w:r w:rsidRPr="005B24BD">
        <w:rPr>
          <w:sz w:val="22"/>
          <w:szCs w:val="22"/>
        </w:rPr>
        <w:t>Atvērta konkursa „Pētnieciskās aparatūras un aprīkojuma (iekārtas) piegāde un uzstādīšana”, iepirkuma identifikācijas Nr.2014/35_ERAF, piedāvājumu atvēršana.</w:t>
      </w:r>
    </w:p>
    <w:p w:rsidR="00466092" w:rsidRPr="005B24BD" w:rsidRDefault="00466092">
      <w:pPr>
        <w:ind w:right="-285"/>
        <w:jc w:val="both"/>
        <w:rPr>
          <w:sz w:val="22"/>
          <w:szCs w:val="22"/>
        </w:rPr>
      </w:pPr>
    </w:p>
    <w:p w:rsidR="00466092" w:rsidRPr="005B24BD" w:rsidRDefault="00466092">
      <w:pPr>
        <w:ind w:right="-285"/>
        <w:jc w:val="both"/>
        <w:rPr>
          <w:b/>
          <w:sz w:val="22"/>
          <w:szCs w:val="22"/>
          <w:u w:val="single"/>
        </w:rPr>
      </w:pPr>
      <w:r w:rsidRPr="005B24BD">
        <w:rPr>
          <w:b/>
          <w:sz w:val="22"/>
          <w:szCs w:val="22"/>
          <w:u w:val="single"/>
        </w:rPr>
        <w:t>Sēdes norises kārtība:</w:t>
      </w:r>
    </w:p>
    <w:p w:rsidR="005B24BD" w:rsidRPr="005B24BD" w:rsidRDefault="005B24BD" w:rsidP="00C86C6A">
      <w:pPr>
        <w:jc w:val="both"/>
        <w:rPr>
          <w:sz w:val="22"/>
          <w:szCs w:val="22"/>
        </w:rPr>
      </w:pPr>
      <w:r w:rsidRPr="005B24BD">
        <w:rPr>
          <w:sz w:val="22"/>
          <w:szCs w:val="22"/>
        </w:rPr>
        <w:t xml:space="preserve">Komisijas priekšsēdētāja vietniece </w:t>
      </w:r>
      <w:proofErr w:type="spellStart"/>
      <w:r w:rsidRPr="005B24BD">
        <w:rPr>
          <w:sz w:val="22"/>
          <w:szCs w:val="22"/>
        </w:rPr>
        <w:t>K.Freija</w:t>
      </w:r>
      <w:proofErr w:type="spellEnd"/>
      <w:r w:rsidRPr="005B24BD">
        <w:rPr>
          <w:sz w:val="22"/>
          <w:szCs w:val="22"/>
        </w:rPr>
        <w:t xml:space="preserve"> atklāj piedāvājumu atvēršanas sanāksmi. Pieteikumu atvēršanas sanāksmes dalībnieki tiek iepazīstināti ar iepirkuma komisijas sastāvu. Sanāksmes dalībnieki aizpilda reģistrācijas lapu.</w:t>
      </w:r>
    </w:p>
    <w:p w:rsidR="005B24BD" w:rsidRPr="005B24BD" w:rsidRDefault="005B24BD" w:rsidP="00C86C6A">
      <w:pPr>
        <w:jc w:val="both"/>
        <w:rPr>
          <w:sz w:val="22"/>
          <w:szCs w:val="22"/>
        </w:rPr>
      </w:pPr>
    </w:p>
    <w:p w:rsidR="005B24BD" w:rsidRPr="005B24BD" w:rsidRDefault="005B24BD" w:rsidP="00C86C6A">
      <w:pPr>
        <w:jc w:val="both"/>
        <w:rPr>
          <w:sz w:val="22"/>
          <w:szCs w:val="22"/>
        </w:rPr>
      </w:pPr>
      <w:r w:rsidRPr="005B24BD">
        <w:rPr>
          <w:sz w:val="22"/>
          <w:szCs w:val="22"/>
        </w:rPr>
        <w:t xml:space="preserve">Komisijas priekšsēdētāja vietniece un iepirkuma komisijas pieaicinātais eksperts </w:t>
      </w:r>
      <w:proofErr w:type="spellStart"/>
      <w:r w:rsidRPr="005B24BD">
        <w:rPr>
          <w:sz w:val="22"/>
          <w:szCs w:val="22"/>
        </w:rPr>
        <w:t>J.Lielpēteris</w:t>
      </w:r>
      <w:proofErr w:type="spellEnd"/>
      <w:r w:rsidRPr="005B24BD">
        <w:rPr>
          <w:sz w:val="22"/>
          <w:szCs w:val="22"/>
        </w:rPr>
        <w:t xml:space="preserve"> atver piedāvājumus to iesniegšanas secībā un nosauc pretendentu, iepirkuma priekšmeta daļ</w:t>
      </w:r>
      <w:r w:rsidR="005A7B73">
        <w:rPr>
          <w:sz w:val="22"/>
          <w:szCs w:val="22"/>
        </w:rPr>
        <w:t xml:space="preserve">u, kurai piedāvājums iesniegts un </w:t>
      </w:r>
      <w:r w:rsidRPr="005B24BD">
        <w:rPr>
          <w:sz w:val="22"/>
          <w:szCs w:val="22"/>
        </w:rPr>
        <w:t>piedāvāto cenu neieskaitot PVN:</w:t>
      </w:r>
    </w:p>
    <w:p w:rsidR="00FE3FF5" w:rsidRPr="005B24BD" w:rsidRDefault="00FE3FF5" w:rsidP="00C86C6A">
      <w:pPr>
        <w:jc w:val="both"/>
        <w:rPr>
          <w:sz w:val="22"/>
          <w:szCs w:val="22"/>
        </w:rPr>
      </w:pPr>
    </w:p>
    <w:tbl>
      <w:tblPr>
        <w:tblStyle w:val="TableGrid1"/>
        <w:tblW w:w="9257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2406"/>
        <w:gridCol w:w="2410"/>
        <w:gridCol w:w="1417"/>
        <w:gridCol w:w="2130"/>
      </w:tblGrid>
      <w:tr w:rsidR="00211A5D" w:rsidRPr="005B24BD" w:rsidTr="00205FC6">
        <w:trPr>
          <w:jc w:val="center"/>
        </w:trPr>
        <w:tc>
          <w:tcPr>
            <w:tcW w:w="894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205FC6">
              <w:rPr>
                <w:b/>
                <w:sz w:val="22"/>
                <w:szCs w:val="22"/>
              </w:rPr>
              <w:t>Nr.p.k</w:t>
            </w:r>
            <w:proofErr w:type="spellEnd"/>
            <w:r w:rsidRPr="00205F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6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05FC6">
              <w:rPr>
                <w:b/>
                <w:sz w:val="22"/>
                <w:szCs w:val="22"/>
              </w:rPr>
              <w:t>Pretendenta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b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241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05FC6">
              <w:rPr>
                <w:b/>
                <w:sz w:val="22"/>
                <w:szCs w:val="22"/>
              </w:rPr>
              <w:t>Piedāvājuma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b/>
                <w:sz w:val="22"/>
                <w:szCs w:val="22"/>
              </w:rPr>
              <w:t>iesniegšanas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b/>
                <w:sz w:val="22"/>
                <w:szCs w:val="22"/>
              </w:rPr>
              <w:t>datums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un </w:t>
            </w:r>
            <w:proofErr w:type="spellStart"/>
            <w:r w:rsidRPr="00205FC6">
              <w:rPr>
                <w:b/>
                <w:sz w:val="22"/>
                <w:szCs w:val="22"/>
              </w:rPr>
              <w:t>laiks</w:t>
            </w:r>
            <w:proofErr w:type="spellEnd"/>
          </w:p>
        </w:tc>
        <w:tc>
          <w:tcPr>
            <w:tcW w:w="1417" w:type="dxa"/>
          </w:tcPr>
          <w:p w:rsidR="00211A5D" w:rsidRPr="00205FC6" w:rsidRDefault="00211A5D" w:rsidP="00DB7F42">
            <w:pPr>
              <w:pStyle w:val="ListParagraph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05FC6">
              <w:rPr>
                <w:b/>
                <w:sz w:val="22"/>
                <w:szCs w:val="22"/>
              </w:rPr>
              <w:t>Iepirkuma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b/>
                <w:sz w:val="22"/>
                <w:szCs w:val="22"/>
              </w:rPr>
              <w:t>priekšmeta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b/>
                <w:sz w:val="22"/>
                <w:szCs w:val="22"/>
              </w:rPr>
              <w:t>daļa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205FC6">
              <w:rPr>
                <w:b/>
                <w:sz w:val="22"/>
                <w:szCs w:val="22"/>
              </w:rPr>
              <w:t>kurā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B7F42">
              <w:rPr>
                <w:b/>
                <w:sz w:val="22"/>
                <w:szCs w:val="22"/>
              </w:rPr>
              <w:t>piedāvājums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b/>
                <w:sz w:val="22"/>
                <w:szCs w:val="22"/>
              </w:rPr>
              <w:t>iesniegts</w:t>
            </w:r>
            <w:proofErr w:type="spellEnd"/>
          </w:p>
        </w:tc>
        <w:tc>
          <w:tcPr>
            <w:tcW w:w="213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05FC6">
              <w:rPr>
                <w:b/>
                <w:sz w:val="22"/>
                <w:szCs w:val="22"/>
              </w:rPr>
              <w:t>Piedāvātā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b/>
                <w:sz w:val="22"/>
                <w:szCs w:val="22"/>
              </w:rPr>
              <w:t>cena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b/>
                <w:sz w:val="22"/>
                <w:szCs w:val="22"/>
              </w:rPr>
              <w:t>neieskaitot</w:t>
            </w:r>
            <w:proofErr w:type="spellEnd"/>
            <w:r w:rsidRPr="00205FC6">
              <w:rPr>
                <w:b/>
                <w:sz w:val="22"/>
                <w:szCs w:val="22"/>
              </w:rPr>
              <w:t xml:space="preserve"> PVN</w:t>
            </w:r>
          </w:p>
        </w:tc>
      </w:tr>
      <w:tr w:rsidR="00211A5D" w:rsidRPr="005B24BD" w:rsidTr="00205FC6">
        <w:trPr>
          <w:trHeight w:val="1045"/>
          <w:jc w:val="center"/>
        </w:trPr>
        <w:tc>
          <w:tcPr>
            <w:tcW w:w="894" w:type="dxa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“Filter”</w:t>
            </w:r>
          </w:p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 xml:space="preserve">2015.gada 5.maijs, </w:t>
            </w: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8:40</w:t>
            </w:r>
          </w:p>
        </w:tc>
        <w:tc>
          <w:tcPr>
            <w:tcW w:w="1417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1.daļa</w:t>
            </w:r>
          </w:p>
        </w:tc>
        <w:tc>
          <w:tcPr>
            <w:tcW w:w="213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38 140,00 EUR</w:t>
            </w:r>
          </w:p>
        </w:tc>
      </w:tr>
      <w:tr w:rsidR="00211A5D" w:rsidRPr="005B24BD" w:rsidTr="00205FC6">
        <w:trPr>
          <w:trHeight w:val="525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“EST TEHNOLOĢIJAS”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8.maijs,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lastRenderedPageBreak/>
              <w:t>Plkst</w:t>
            </w:r>
            <w:proofErr w:type="spellEnd"/>
            <w:r w:rsidRPr="00205FC6">
              <w:rPr>
                <w:sz w:val="22"/>
                <w:szCs w:val="22"/>
              </w:rPr>
              <w:t>. 9:15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lastRenderedPageBreak/>
              <w:t>3.daļa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1 680,00 EUR</w:t>
            </w:r>
          </w:p>
        </w:tc>
      </w:tr>
      <w:tr w:rsidR="00211A5D" w:rsidRPr="005B24BD" w:rsidTr="00205FC6">
        <w:trPr>
          <w:trHeight w:val="52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560,00 EUR</w:t>
            </w:r>
          </w:p>
        </w:tc>
      </w:tr>
      <w:tr w:rsidR="00211A5D" w:rsidRPr="005B24BD" w:rsidTr="00205FC6">
        <w:trPr>
          <w:trHeight w:val="525"/>
          <w:jc w:val="center"/>
        </w:trPr>
        <w:tc>
          <w:tcPr>
            <w:tcW w:w="894" w:type="dxa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“AGA”</w:t>
            </w:r>
          </w:p>
        </w:tc>
        <w:tc>
          <w:tcPr>
            <w:tcW w:w="241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12.maijs,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10:25</w:t>
            </w:r>
          </w:p>
        </w:tc>
        <w:tc>
          <w:tcPr>
            <w:tcW w:w="1417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12.daļa</w:t>
            </w:r>
          </w:p>
        </w:tc>
        <w:tc>
          <w:tcPr>
            <w:tcW w:w="213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14 785,00 EUR</w:t>
            </w:r>
          </w:p>
        </w:tc>
      </w:tr>
      <w:tr w:rsidR="00211A5D" w:rsidRPr="005B24BD" w:rsidTr="00205FC6">
        <w:trPr>
          <w:trHeight w:val="525"/>
          <w:jc w:val="center"/>
        </w:trPr>
        <w:tc>
          <w:tcPr>
            <w:tcW w:w="894" w:type="dxa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Optometrijas</w:t>
            </w:r>
            <w:proofErr w:type="spellEnd"/>
            <w:r w:rsidRPr="00205FC6">
              <w:rPr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sz w:val="22"/>
                <w:szCs w:val="22"/>
              </w:rPr>
              <w:t>Centrs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13.maijs,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14:40</w:t>
            </w:r>
          </w:p>
        </w:tc>
        <w:tc>
          <w:tcPr>
            <w:tcW w:w="1417" w:type="dxa"/>
          </w:tcPr>
          <w:p w:rsidR="00211A5D" w:rsidRPr="00533A94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  <w:highlight w:val="lightGray"/>
              </w:rPr>
            </w:pPr>
            <w:r w:rsidRPr="00533A94">
              <w:rPr>
                <w:sz w:val="22"/>
                <w:szCs w:val="22"/>
                <w:highlight w:val="lightGray"/>
              </w:rPr>
              <w:t>24.daļa</w:t>
            </w:r>
          </w:p>
        </w:tc>
        <w:tc>
          <w:tcPr>
            <w:tcW w:w="2130" w:type="dxa"/>
          </w:tcPr>
          <w:p w:rsidR="00211A5D" w:rsidRPr="00533A94" w:rsidRDefault="00533A94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  <w:highlight w:val="lightGray"/>
              </w:rPr>
            </w:pPr>
            <w:r w:rsidRPr="00533A94">
              <w:rPr>
                <w:sz w:val="22"/>
                <w:szCs w:val="22"/>
                <w:highlight w:val="lightGray"/>
              </w:rPr>
              <w:t>36 6</w:t>
            </w:r>
            <w:r w:rsidR="00211A5D" w:rsidRPr="00533A94">
              <w:rPr>
                <w:sz w:val="22"/>
                <w:szCs w:val="22"/>
                <w:highlight w:val="lightGray"/>
              </w:rPr>
              <w:t>40,00 EUR</w:t>
            </w:r>
          </w:p>
        </w:tc>
      </w:tr>
      <w:tr w:rsidR="00211A5D" w:rsidRPr="005B24BD" w:rsidTr="00205FC6">
        <w:trPr>
          <w:trHeight w:val="525"/>
          <w:jc w:val="center"/>
        </w:trPr>
        <w:tc>
          <w:tcPr>
            <w:tcW w:w="894" w:type="dxa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 xml:space="preserve">SIA “KJ </w:t>
            </w:r>
            <w:proofErr w:type="spellStart"/>
            <w:r w:rsidRPr="00205FC6">
              <w:rPr>
                <w:sz w:val="22"/>
                <w:szCs w:val="22"/>
              </w:rPr>
              <w:t>Serviss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14.maijs,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15:25</w:t>
            </w:r>
          </w:p>
        </w:tc>
        <w:tc>
          <w:tcPr>
            <w:tcW w:w="1417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7 840,00 EUR</w:t>
            </w:r>
          </w:p>
        </w:tc>
      </w:tr>
      <w:tr w:rsidR="00211A5D" w:rsidRPr="005B24BD" w:rsidTr="00205FC6">
        <w:trPr>
          <w:trHeight w:val="525"/>
          <w:jc w:val="center"/>
        </w:trPr>
        <w:tc>
          <w:tcPr>
            <w:tcW w:w="894" w:type="dxa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Mediq</w:t>
            </w:r>
            <w:proofErr w:type="spellEnd"/>
            <w:r w:rsidRPr="00205FC6">
              <w:rPr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sz w:val="22"/>
                <w:szCs w:val="22"/>
              </w:rPr>
              <w:t>Latvija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14.maijs,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15:30</w:t>
            </w:r>
          </w:p>
        </w:tc>
        <w:tc>
          <w:tcPr>
            <w:tcW w:w="1417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27.daļa</w:t>
            </w:r>
          </w:p>
        </w:tc>
        <w:tc>
          <w:tcPr>
            <w:tcW w:w="213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9 906,00 EUR</w:t>
            </w:r>
          </w:p>
        </w:tc>
      </w:tr>
      <w:tr w:rsidR="00211A5D" w:rsidRPr="005B24BD" w:rsidTr="00205FC6">
        <w:trPr>
          <w:trHeight w:val="473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Invitros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14.maijs,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16:42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31 770,00 EUR</w:t>
            </w:r>
          </w:p>
        </w:tc>
      </w:tr>
      <w:tr w:rsidR="00211A5D" w:rsidRPr="005B24BD" w:rsidTr="00205FC6">
        <w:trPr>
          <w:trHeight w:val="472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2 728,45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 xml:space="preserve">SIA “Quantum </w:t>
            </w:r>
            <w:proofErr w:type="spellStart"/>
            <w:r w:rsidRPr="00205FC6">
              <w:rPr>
                <w:sz w:val="22"/>
                <w:szCs w:val="22"/>
              </w:rPr>
              <w:t>Latvija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9:05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2 072,00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4.daļa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4 995,00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3 890,00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25.daļa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2 020,00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6 615,00 EUR</w:t>
            </w:r>
          </w:p>
        </w:tc>
      </w:tr>
      <w:tr w:rsidR="00211A5D" w:rsidRPr="005B24BD" w:rsidTr="00205FC6">
        <w:trPr>
          <w:trHeight w:val="315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Armgate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 xml:space="preserve"> 9:06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6 020,00 EUR</w:t>
            </w:r>
          </w:p>
        </w:tc>
      </w:tr>
      <w:tr w:rsidR="00211A5D" w:rsidRPr="005B24BD" w:rsidTr="00205FC6">
        <w:trPr>
          <w:trHeight w:val="31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9.daļa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21 569,00 EUR</w:t>
            </w:r>
          </w:p>
        </w:tc>
      </w:tr>
      <w:tr w:rsidR="00211A5D" w:rsidRPr="005B24BD" w:rsidTr="00205FC6">
        <w:trPr>
          <w:trHeight w:val="31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8 570,00 EUR</w:t>
            </w:r>
          </w:p>
        </w:tc>
      </w:tr>
      <w:tr w:rsidR="00211A5D" w:rsidRPr="005B24BD" w:rsidTr="00205FC6">
        <w:trPr>
          <w:trHeight w:val="105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Adrona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9:15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 xml:space="preserve">1.daļa 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17 773,80 EUR</w:t>
            </w:r>
          </w:p>
        </w:tc>
      </w:tr>
      <w:tr w:rsidR="00211A5D" w:rsidRPr="005B24BD" w:rsidTr="00205FC6">
        <w:trPr>
          <w:trHeight w:val="10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6 431,60 EUR</w:t>
            </w:r>
          </w:p>
        </w:tc>
      </w:tr>
      <w:tr w:rsidR="00211A5D" w:rsidRPr="005B24BD" w:rsidTr="00205FC6">
        <w:trPr>
          <w:trHeight w:val="10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3 119,25 EUR</w:t>
            </w:r>
          </w:p>
        </w:tc>
      </w:tr>
      <w:tr w:rsidR="00211A5D" w:rsidRPr="005B24BD" w:rsidTr="00205FC6">
        <w:trPr>
          <w:trHeight w:val="10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12 460,00 EUR</w:t>
            </w:r>
          </w:p>
        </w:tc>
      </w:tr>
      <w:tr w:rsidR="00211A5D" w:rsidRPr="005B24BD" w:rsidTr="00205FC6">
        <w:trPr>
          <w:trHeight w:val="10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19.daļa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1 887,14 EUR</w:t>
            </w:r>
          </w:p>
        </w:tc>
      </w:tr>
      <w:tr w:rsidR="00211A5D" w:rsidRPr="005B24BD" w:rsidTr="00205FC6">
        <w:trPr>
          <w:trHeight w:val="10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4 538,40 EUR</w:t>
            </w:r>
          </w:p>
        </w:tc>
      </w:tr>
      <w:tr w:rsidR="00211A5D" w:rsidRPr="005B24BD" w:rsidTr="00205FC6">
        <w:trPr>
          <w:trHeight w:val="10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345,50 EUR</w:t>
            </w:r>
          </w:p>
        </w:tc>
      </w:tr>
      <w:tr w:rsidR="00211A5D" w:rsidRPr="005B24BD" w:rsidTr="00205FC6">
        <w:trPr>
          <w:trHeight w:val="10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23.daļa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20 635,00 EUR</w:t>
            </w:r>
          </w:p>
        </w:tc>
      </w:tr>
      <w:tr w:rsidR="00211A5D" w:rsidRPr="005B24BD" w:rsidTr="00205FC6">
        <w:trPr>
          <w:trHeight w:val="10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28.daļa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10 571,30 EUR</w:t>
            </w:r>
          </w:p>
        </w:tc>
      </w:tr>
      <w:tr w:rsidR="00211A5D" w:rsidRPr="005B24BD" w:rsidTr="00205FC6">
        <w:trPr>
          <w:trHeight w:val="160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“OMNILAB Baltic”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Plkst.9:15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6 440,00 EUR</w:t>
            </w:r>
          </w:p>
        </w:tc>
      </w:tr>
      <w:tr w:rsidR="00211A5D" w:rsidRPr="005B24BD" w:rsidTr="00205FC6">
        <w:trPr>
          <w:trHeight w:val="157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5.daļa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32 938,00 EUR</w:t>
            </w:r>
          </w:p>
        </w:tc>
      </w:tr>
      <w:tr w:rsidR="00211A5D" w:rsidRPr="005B24BD" w:rsidTr="00205FC6">
        <w:trPr>
          <w:trHeight w:val="157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2 300,00 EUR</w:t>
            </w:r>
          </w:p>
        </w:tc>
      </w:tr>
      <w:tr w:rsidR="00211A5D" w:rsidRPr="005B24BD" w:rsidTr="00205FC6">
        <w:trPr>
          <w:trHeight w:val="157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10 172,00 EUR</w:t>
            </w:r>
          </w:p>
        </w:tc>
      </w:tr>
      <w:tr w:rsidR="00211A5D" w:rsidRPr="005B24BD" w:rsidTr="00205FC6">
        <w:trPr>
          <w:trHeight w:val="157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14.daļa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14 823,80 EUR</w:t>
            </w:r>
          </w:p>
        </w:tc>
      </w:tr>
      <w:tr w:rsidR="00211A5D" w:rsidRPr="005B24BD" w:rsidTr="00205FC6">
        <w:trPr>
          <w:trHeight w:val="157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2 343,65 EUR</w:t>
            </w:r>
          </w:p>
        </w:tc>
      </w:tr>
      <w:tr w:rsidR="00211A5D" w:rsidRPr="005B24BD" w:rsidTr="00205FC6">
        <w:trPr>
          <w:trHeight w:val="315"/>
          <w:jc w:val="center"/>
        </w:trPr>
        <w:tc>
          <w:tcPr>
            <w:tcW w:w="894" w:type="dxa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 xml:space="preserve">Bruker </w:t>
            </w:r>
            <w:proofErr w:type="spellStart"/>
            <w:r w:rsidRPr="00205FC6">
              <w:rPr>
                <w:sz w:val="22"/>
                <w:szCs w:val="22"/>
              </w:rPr>
              <w:t>Baltick</w:t>
            </w:r>
            <w:proofErr w:type="spellEnd"/>
            <w:r w:rsidRPr="00205FC6">
              <w:rPr>
                <w:sz w:val="22"/>
                <w:szCs w:val="22"/>
              </w:rPr>
              <w:t xml:space="preserve"> OU</w:t>
            </w:r>
          </w:p>
        </w:tc>
        <w:tc>
          <w:tcPr>
            <w:tcW w:w="241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9:15</w:t>
            </w:r>
          </w:p>
        </w:tc>
        <w:tc>
          <w:tcPr>
            <w:tcW w:w="1417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17.daļa</w:t>
            </w:r>
          </w:p>
        </w:tc>
        <w:tc>
          <w:tcPr>
            <w:tcW w:w="213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164 000,00 EUR</w:t>
            </w:r>
          </w:p>
        </w:tc>
      </w:tr>
      <w:tr w:rsidR="00211A5D" w:rsidRPr="005B24BD" w:rsidTr="00205FC6">
        <w:trPr>
          <w:trHeight w:val="315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Derox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9:20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6 160,00 EUR</w:t>
            </w:r>
          </w:p>
        </w:tc>
      </w:tr>
      <w:tr w:rsidR="00211A5D" w:rsidRPr="005B24BD" w:rsidTr="00205FC6">
        <w:trPr>
          <w:trHeight w:val="31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3 850,00 EUR</w:t>
            </w:r>
          </w:p>
        </w:tc>
      </w:tr>
      <w:tr w:rsidR="00211A5D" w:rsidRPr="005B24BD" w:rsidTr="00205FC6">
        <w:trPr>
          <w:trHeight w:val="25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7.daļa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59 300,00 EUR</w:t>
            </w:r>
          </w:p>
        </w:tc>
      </w:tr>
      <w:tr w:rsidR="00211A5D" w:rsidRPr="005B24BD" w:rsidTr="00205FC6">
        <w:trPr>
          <w:trHeight w:val="25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10.daļa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39 890,00 EUR</w:t>
            </w:r>
          </w:p>
        </w:tc>
      </w:tr>
      <w:tr w:rsidR="00211A5D" w:rsidRPr="005B24BD" w:rsidTr="00205FC6">
        <w:trPr>
          <w:trHeight w:val="25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2 140,00 EUR</w:t>
            </w:r>
          </w:p>
        </w:tc>
      </w:tr>
      <w:tr w:rsidR="00211A5D" w:rsidRPr="005B24BD" w:rsidTr="00205FC6">
        <w:trPr>
          <w:trHeight w:val="473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“HYDROX”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9:20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9 282,00 EUR</w:t>
            </w:r>
          </w:p>
        </w:tc>
      </w:tr>
      <w:tr w:rsidR="00211A5D" w:rsidRPr="005B24BD" w:rsidTr="00205FC6">
        <w:trPr>
          <w:trHeight w:val="472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27.daļa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5 956,00 EUR</w:t>
            </w:r>
          </w:p>
        </w:tc>
      </w:tr>
      <w:tr w:rsidR="00211A5D" w:rsidRPr="005B24BD" w:rsidTr="00205FC6">
        <w:trPr>
          <w:trHeight w:val="473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“KEMEK Engineering”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9:25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551519">
              <w:rPr>
                <w:sz w:val="22"/>
                <w:szCs w:val="22"/>
              </w:rPr>
              <w:t>1.daļa</w:t>
            </w:r>
            <w:r w:rsidR="00143893" w:rsidRPr="00551519">
              <w:rPr>
                <w:sz w:val="22"/>
                <w:szCs w:val="22"/>
              </w:rPr>
              <w:t xml:space="preserve"> (3.daļa</w:t>
            </w:r>
            <w:r w:rsidRPr="00551519">
              <w:rPr>
                <w:sz w:val="22"/>
                <w:szCs w:val="22"/>
              </w:rPr>
              <w:t>)</w:t>
            </w:r>
            <w:r w:rsidRPr="0055151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7 308,00 EUR</w:t>
            </w:r>
          </w:p>
        </w:tc>
      </w:tr>
      <w:tr w:rsidR="00211A5D" w:rsidRPr="005B24BD" w:rsidTr="00205FC6">
        <w:trPr>
          <w:trHeight w:val="472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346,00 EUR</w:t>
            </w:r>
          </w:p>
        </w:tc>
      </w:tr>
      <w:tr w:rsidR="00211A5D" w:rsidRPr="005B24BD" w:rsidTr="00205FC6">
        <w:trPr>
          <w:trHeight w:val="255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Svaru</w:t>
            </w:r>
            <w:proofErr w:type="spellEnd"/>
            <w:r w:rsidRPr="00205FC6">
              <w:rPr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sz w:val="22"/>
                <w:szCs w:val="22"/>
              </w:rPr>
              <w:t>Centrs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9:27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2 429,84 EUR</w:t>
            </w:r>
          </w:p>
        </w:tc>
      </w:tr>
      <w:tr w:rsidR="00211A5D" w:rsidRPr="005B24BD" w:rsidTr="00205FC6">
        <w:trPr>
          <w:trHeight w:val="255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402,30 EUR</w:t>
            </w:r>
          </w:p>
        </w:tc>
      </w:tr>
      <w:tr w:rsidR="00211A5D" w:rsidRPr="005B24BD" w:rsidTr="00205FC6">
        <w:trPr>
          <w:trHeight w:val="473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AS “</w:t>
            </w:r>
            <w:proofErr w:type="spellStart"/>
            <w:r w:rsidRPr="00205FC6">
              <w:rPr>
                <w:sz w:val="22"/>
                <w:szCs w:val="22"/>
              </w:rPr>
              <w:t>LabMedTech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9:29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6 860,00 EUR</w:t>
            </w:r>
          </w:p>
        </w:tc>
      </w:tr>
      <w:tr w:rsidR="00211A5D" w:rsidRPr="005B24BD" w:rsidTr="00205FC6">
        <w:trPr>
          <w:trHeight w:val="472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527,00 EUR</w:t>
            </w:r>
          </w:p>
        </w:tc>
      </w:tr>
      <w:tr w:rsidR="00211A5D" w:rsidRPr="005B24BD" w:rsidTr="00205FC6">
        <w:trPr>
          <w:trHeight w:val="237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Doma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9:31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8 260,00 EUR</w:t>
            </w:r>
          </w:p>
        </w:tc>
      </w:tr>
      <w:tr w:rsidR="00211A5D" w:rsidRPr="005B24BD" w:rsidTr="00205FC6">
        <w:trPr>
          <w:trHeight w:val="236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5.daļa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30 878,00 EUR</w:t>
            </w:r>
          </w:p>
        </w:tc>
      </w:tr>
      <w:tr w:rsidR="00211A5D" w:rsidRPr="005B24BD" w:rsidTr="00205FC6">
        <w:trPr>
          <w:trHeight w:val="236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2 907,00 EUR</w:t>
            </w:r>
          </w:p>
        </w:tc>
      </w:tr>
      <w:tr w:rsidR="00211A5D" w:rsidRPr="005B24BD" w:rsidTr="00205FC6">
        <w:trPr>
          <w:trHeight w:val="236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21.daļa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3 090,00 EUR</w:t>
            </w:r>
          </w:p>
        </w:tc>
      </w:tr>
      <w:tr w:rsidR="00211A5D" w:rsidRPr="005B24BD" w:rsidTr="00205FC6">
        <w:trPr>
          <w:trHeight w:val="87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Faneks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9:34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33 382,00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8 568,00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5.daļa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35 550,00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3 075,00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11.daļa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8 100,00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8 487,00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13.daļa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37 911,13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14.daļa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14 424,00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2 337,00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17.daļa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172 990,00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25.daļa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2 960,00 EUR</w:t>
            </w:r>
          </w:p>
        </w:tc>
      </w:tr>
      <w:tr w:rsidR="00211A5D" w:rsidRPr="005B24BD" w:rsidTr="00205FC6">
        <w:trPr>
          <w:trHeight w:val="78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28.daļa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11 150,00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Labochema</w:t>
            </w:r>
            <w:proofErr w:type="spellEnd"/>
            <w:r w:rsidRPr="00205FC6">
              <w:rPr>
                <w:sz w:val="22"/>
                <w:szCs w:val="22"/>
              </w:rPr>
              <w:t xml:space="preserve"> </w:t>
            </w:r>
            <w:proofErr w:type="spellStart"/>
            <w:r w:rsidRPr="00205FC6">
              <w:rPr>
                <w:sz w:val="22"/>
                <w:szCs w:val="22"/>
              </w:rPr>
              <w:t>Latvija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9:42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31 335,00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6 720,00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5.daļa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32 640,00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3 500,00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7.daļa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39 450,00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8 920,00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14.daļa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15 195,00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15.daļa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4 250,58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2 440,00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18.daļa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4 436,00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19.daļa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1 985,00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533A94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533A94">
              <w:rPr>
                <w:sz w:val="22"/>
                <w:szCs w:val="22"/>
                <w:highlight w:val="lightGray"/>
              </w:rPr>
              <w:t>4640</w:t>
            </w:r>
            <w:r w:rsidR="00211A5D" w:rsidRPr="00533A94">
              <w:rPr>
                <w:sz w:val="22"/>
                <w:szCs w:val="22"/>
                <w:highlight w:val="lightGray"/>
              </w:rPr>
              <w:t>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22.daļa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1 645,00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23.daļa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17 410,00 EUR</w:t>
            </w:r>
          </w:p>
        </w:tc>
      </w:tr>
      <w:tr w:rsidR="00211A5D" w:rsidRPr="005B24BD" w:rsidTr="00205FC6">
        <w:trPr>
          <w:trHeight w:val="63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8 160,00 EUR</w:t>
            </w:r>
          </w:p>
        </w:tc>
      </w:tr>
      <w:tr w:rsidR="00211A5D" w:rsidRPr="005B24BD" w:rsidTr="00205FC6">
        <w:trPr>
          <w:trHeight w:val="236"/>
          <w:jc w:val="center"/>
        </w:trPr>
        <w:tc>
          <w:tcPr>
            <w:tcW w:w="894" w:type="dxa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AS “LNK Industries”</w:t>
            </w:r>
          </w:p>
        </w:tc>
        <w:tc>
          <w:tcPr>
            <w:tcW w:w="241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9:53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29.daļa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322 751,10 EUR</w:t>
            </w:r>
          </w:p>
        </w:tc>
      </w:tr>
      <w:tr w:rsidR="00211A5D" w:rsidRPr="005B24BD" w:rsidTr="00205FC6">
        <w:trPr>
          <w:trHeight w:val="236"/>
          <w:jc w:val="center"/>
        </w:trPr>
        <w:tc>
          <w:tcPr>
            <w:tcW w:w="894" w:type="dxa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 xml:space="preserve">SIA “KD </w:t>
            </w:r>
            <w:proofErr w:type="spellStart"/>
            <w:r w:rsidRPr="00205FC6">
              <w:rPr>
                <w:sz w:val="22"/>
                <w:szCs w:val="22"/>
              </w:rPr>
              <w:t>projekti</w:t>
            </w:r>
            <w:proofErr w:type="spellEnd"/>
            <w:r w:rsidRPr="00205FC6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t>Plkst</w:t>
            </w:r>
            <w:proofErr w:type="spellEnd"/>
            <w:r w:rsidRPr="00205FC6">
              <w:rPr>
                <w:sz w:val="22"/>
                <w:szCs w:val="22"/>
              </w:rPr>
              <w:t>. 9:58</w:t>
            </w:r>
          </w:p>
        </w:tc>
        <w:tc>
          <w:tcPr>
            <w:tcW w:w="1417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8.daļa</w:t>
            </w:r>
          </w:p>
        </w:tc>
        <w:tc>
          <w:tcPr>
            <w:tcW w:w="2130" w:type="dxa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76 941,00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 w:val="restart"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211A5D" w:rsidRPr="00205FC6" w:rsidRDefault="00211A5D" w:rsidP="00205FC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SIA “</w:t>
            </w:r>
            <w:proofErr w:type="spellStart"/>
            <w:r w:rsidRPr="00205FC6">
              <w:rPr>
                <w:sz w:val="22"/>
                <w:szCs w:val="22"/>
              </w:rPr>
              <w:t>GenMedica</w:t>
            </w:r>
            <w:proofErr w:type="spellEnd"/>
            <w:r w:rsidRPr="00205FC6">
              <w:rPr>
                <w:sz w:val="22"/>
                <w:szCs w:val="22"/>
              </w:rPr>
              <w:t xml:space="preserve"> Baltic”</w:t>
            </w:r>
          </w:p>
        </w:tc>
        <w:tc>
          <w:tcPr>
            <w:tcW w:w="2410" w:type="dxa"/>
            <w:vMerge w:val="restart"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2015.gada 15.maijs,</w:t>
            </w:r>
          </w:p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05FC6">
              <w:rPr>
                <w:sz w:val="22"/>
                <w:szCs w:val="22"/>
              </w:rPr>
              <w:lastRenderedPageBreak/>
              <w:t>Plkst</w:t>
            </w:r>
            <w:proofErr w:type="spellEnd"/>
            <w:r w:rsidRPr="00205FC6">
              <w:rPr>
                <w:sz w:val="22"/>
                <w:szCs w:val="22"/>
              </w:rPr>
              <w:t>. 10:00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lastRenderedPageBreak/>
              <w:t>6.daļa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2 200,00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14.daļa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16 480,00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16.daļa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3 500,00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23.daļa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39 000,00 EUR</w:t>
            </w:r>
          </w:p>
        </w:tc>
      </w:tr>
      <w:tr w:rsidR="00211A5D" w:rsidRPr="005B24BD" w:rsidTr="00205FC6">
        <w:trPr>
          <w:trHeight w:val="189"/>
          <w:jc w:val="center"/>
        </w:trPr>
        <w:tc>
          <w:tcPr>
            <w:tcW w:w="894" w:type="dxa"/>
            <w:vMerge/>
          </w:tcPr>
          <w:p w:rsidR="00211A5D" w:rsidRPr="00205FC6" w:rsidRDefault="00211A5D" w:rsidP="005B24B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27.daļa</w:t>
            </w:r>
          </w:p>
        </w:tc>
        <w:tc>
          <w:tcPr>
            <w:tcW w:w="2130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</w:tcPr>
          <w:p w:rsidR="00211A5D" w:rsidRPr="00205FC6" w:rsidRDefault="00211A5D" w:rsidP="001E1A3C">
            <w:pPr>
              <w:pStyle w:val="ListParagraph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205FC6">
              <w:rPr>
                <w:sz w:val="22"/>
                <w:szCs w:val="22"/>
              </w:rPr>
              <w:t>12 700,00 EUR</w:t>
            </w:r>
          </w:p>
        </w:tc>
      </w:tr>
    </w:tbl>
    <w:p w:rsidR="00FE3FF5" w:rsidRPr="005B24BD" w:rsidRDefault="00FE3FF5" w:rsidP="00C86C6A">
      <w:pPr>
        <w:jc w:val="both"/>
        <w:rPr>
          <w:sz w:val="22"/>
          <w:szCs w:val="22"/>
        </w:rPr>
      </w:pPr>
    </w:p>
    <w:p w:rsidR="000067CF" w:rsidRPr="005B24BD" w:rsidRDefault="000067CF" w:rsidP="00C86C6A">
      <w:pPr>
        <w:jc w:val="both"/>
        <w:rPr>
          <w:sz w:val="22"/>
          <w:szCs w:val="22"/>
        </w:rPr>
      </w:pPr>
    </w:p>
    <w:p w:rsidR="005B24BD" w:rsidRPr="00205FC6" w:rsidRDefault="005B24BD" w:rsidP="005B24BD">
      <w:pPr>
        <w:pStyle w:val="ListParagraph"/>
        <w:spacing w:after="120"/>
        <w:ind w:left="142"/>
        <w:contextualSpacing w:val="0"/>
        <w:jc w:val="both"/>
        <w:rPr>
          <w:sz w:val="22"/>
          <w:szCs w:val="22"/>
        </w:rPr>
      </w:pPr>
      <w:r w:rsidRPr="00205FC6">
        <w:rPr>
          <w:sz w:val="22"/>
          <w:szCs w:val="22"/>
        </w:rPr>
        <w:t>Iebildumi, jautājumi vai labojumi netika izteikti.</w:t>
      </w:r>
    </w:p>
    <w:p w:rsidR="005B24BD" w:rsidRPr="00205FC6" w:rsidRDefault="005B24BD" w:rsidP="005B24BD">
      <w:pPr>
        <w:pStyle w:val="ListParagraph"/>
        <w:spacing w:after="120"/>
        <w:ind w:left="142"/>
        <w:contextualSpacing w:val="0"/>
        <w:jc w:val="both"/>
        <w:rPr>
          <w:sz w:val="22"/>
          <w:szCs w:val="22"/>
        </w:rPr>
      </w:pPr>
      <w:r w:rsidRPr="00205FC6">
        <w:rPr>
          <w:sz w:val="22"/>
          <w:szCs w:val="22"/>
        </w:rPr>
        <w:t xml:space="preserve">Iepirkuma komisijas priekšsēdētāja vietniece </w:t>
      </w:r>
      <w:proofErr w:type="spellStart"/>
      <w:r w:rsidRPr="00205FC6">
        <w:rPr>
          <w:sz w:val="22"/>
          <w:szCs w:val="22"/>
        </w:rPr>
        <w:t>K.Freija</w:t>
      </w:r>
      <w:proofErr w:type="spellEnd"/>
      <w:r w:rsidRPr="00205FC6">
        <w:rPr>
          <w:sz w:val="22"/>
          <w:szCs w:val="22"/>
        </w:rPr>
        <w:t xml:space="preserve"> pieteikumu atvēršanas sanāksmi pasludina par slēgtu.</w:t>
      </w:r>
    </w:p>
    <w:p w:rsidR="005B24BD" w:rsidRPr="00205FC6" w:rsidRDefault="005B24BD" w:rsidP="005B24BD">
      <w:pPr>
        <w:pStyle w:val="ListParagraph"/>
        <w:spacing w:after="200" w:line="276" w:lineRule="auto"/>
        <w:ind w:left="142"/>
        <w:jc w:val="both"/>
        <w:rPr>
          <w:sz w:val="22"/>
          <w:szCs w:val="22"/>
        </w:rPr>
      </w:pPr>
    </w:p>
    <w:p w:rsidR="00FA2DC5" w:rsidRPr="005B24BD" w:rsidRDefault="00FA2DC5">
      <w:pPr>
        <w:tabs>
          <w:tab w:val="left" w:pos="1440"/>
          <w:tab w:val="center" w:pos="4629"/>
        </w:tabs>
        <w:ind w:right="-285"/>
        <w:rPr>
          <w:b/>
          <w:sz w:val="22"/>
          <w:szCs w:val="22"/>
        </w:rPr>
      </w:pPr>
      <w:bookmarkStart w:id="0" w:name="_GoBack"/>
      <w:bookmarkEnd w:id="0"/>
    </w:p>
    <w:p w:rsidR="00466092" w:rsidRPr="005B24BD" w:rsidRDefault="00466092">
      <w:pPr>
        <w:rPr>
          <w:b/>
          <w:sz w:val="22"/>
          <w:szCs w:val="22"/>
          <w:u w:val="single"/>
        </w:rPr>
      </w:pPr>
    </w:p>
    <w:sectPr w:rsidR="00466092" w:rsidRPr="005B24BD" w:rsidSect="00070C3E">
      <w:footerReference w:type="even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AF" w:rsidRDefault="00A927AF">
      <w:r>
        <w:separator/>
      </w:r>
    </w:p>
  </w:endnote>
  <w:endnote w:type="continuationSeparator" w:id="0">
    <w:p w:rsidR="00A927AF" w:rsidRDefault="00A9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89" w:rsidRDefault="006638F4" w:rsidP="00470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2989" w:rsidRDefault="00A927AF" w:rsidP="004706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89" w:rsidRDefault="006638F4" w:rsidP="00470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419">
      <w:rPr>
        <w:rStyle w:val="PageNumber"/>
        <w:noProof/>
      </w:rPr>
      <w:t>1</w:t>
    </w:r>
    <w:r>
      <w:rPr>
        <w:rStyle w:val="PageNumber"/>
      </w:rPr>
      <w:fldChar w:fldCharType="end"/>
    </w:r>
  </w:p>
  <w:p w:rsidR="00192989" w:rsidRDefault="00A927AF" w:rsidP="004706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AF" w:rsidRDefault="00A927AF">
      <w:r>
        <w:separator/>
      </w:r>
    </w:p>
  </w:footnote>
  <w:footnote w:type="continuationSeparator" w:id="0">
    <w:p w:rsidR="00A927AF" w:rsidRDefault="00A927AF">
      <w:r>
        <w:continuationSeparator/>
      </w:r>
    </w:p>
  </w:footnote>
  <w:footnote w:id="1">
    <w:p w:rsidR="00211A5D" w:rsidRDefault="00211A5D">
      <w:pPr>
        <w:pStyle w:val="FootnoteText"/>
      </w:pPr>
      <w:r>
        <w:rPr>
          <w:rStyle w:val="FootnoteReference"/>
        </w:rPr>
        <w:footnoteRef/>
      </w:r>
      <w:r>
        <w:t xml:space="preserve"> Iepirkuma komisija </w:t>
      </w:r>
      <w:r w:rsidR="00BA0F13">
        <w:t xml:space="preserve">atverot piedāvājumu </w:t>
      </w:r>
      <w:r>
        <w:t xml:space="preserve">konstatē, ka </w:t>
      </w:r>
      <w:r w:rsidR="00BA0F13">
        <w:t>tajā</w:t>
      </w:r>
      <w:r>
        <w:t xml:space="preserve"> norādīts, ka </w:t>
      </w:r>
      <w:r w:rsidR="00BA0F13">
        <w:t>piedāvājums</w:t>
      </w:r>
      <w:r>
        <w:t xml:space="preserve"> iesniegts iepirkuma priekšmeta 1.daļai, tomēr pēc iepirkuma priekšmeta daļas nosaukuma </w:t>
      </w:r>
      <w:r w:rsidR="00BA0F13">
        <w:t>un piedāvātajām precēm secina</w:t>
      </w:r>
      <w:r>
        <w:t>, ka piedāvājums faktiski iesniegts par iepirkuma priekšmeta trešo daļu „</w:t>
      </w:r>
      <w:r w:rsidR="00143893" w:rsidRPr="00205FC6">
        <w:rPr>
          <w:i/>
        </w:rPr>
        <w:t>Laboratorijas svari</w:t>
      </w:r>
      <w:r>
        <w:t>”</w:t>
      </w:r>
      <w:r w:rsidR="00143893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3C6"/>
    <w:multiLevelType w:val="hybridMultilevel"/>
    <w:tmpl w:val="B0B6CF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2E8D"/>
    <w:multiLevelType w:val="multilevel"/>
    <w:tmpl w:val="88D4C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61307C3"/>
    <w:multiLevelType w:val="hybridMultilevel"/>
    <w:tmpl w:val="3ABA4B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84B"/>
    <w:multiLevelType w:val="multilevel"/>
    <w:tmpl w:val="63ECAA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4">
    <w:nsid w:val="31431810"/>
    <w:multiLevelType w:val="hybridMultilevel"/>
    <w:tmpl w:val="89CE17BA"/>
    <w:lvl w:ilvl="0" w:tplc="8E6EA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420B6"/>
    <w:multiLevelType w:val="hybridMultilevel"/>
    <w:tmpl w:val="A620B190"/>
    <w:lvl w:ilvl="0" w:tplc="74484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31522"/>
    <w:multiLevelType w:val="hybridMultilevel"/>
    <w:tmpl w:val="92B258E0"/>
    <w:lvl w:ilvl="0" w:tplc="E0DC0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17852"/>
    <w:multiLevelType w:val="hybridMultilevel"/>
    <w:tmpl w:val="A620B190"/>
    <w:lvl w:ilvl="0" w:tplc="74484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621AC"/>
    <w:multiLevelType w:val="hybridMultilevel"/>
    <w:tmpl w:val="E3EA1AA4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04A1409"/>
    <w:multiLevelType w:val="hybridMultilevel"/>
    <w:tmpl w:val="0B484532"/>
    <w:lvl w:ilvl="0" w:tplc="11F65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C6F47"/>
    <w:multiLevelType w:val="hybridMultilevel"/>
    <w:tmpl w:val="5C8262D8"/>
    <w:lvl w:ilvl="0" w:tplc="8048A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92"/>
    <w:rsid w:val="000067CF"/>
    <w:rsid w:val="00011A01"/>
    <w:rsid w:val="0005785E"/>
    <w:rsid w:val="00070C3E"/>
    <w:rsid w:val="000836F3"/>
    <w:rsid w:val="00143893"/>
    <w:rsid w:val="00153C73"/>
    <w:rsid w:val="001707D2"/>
    <w:rsid w:val="00175FE7"/>
    <w:rsid w:val="001F2E4E"/>
    <w:rsid w:val="001F5109"/>
    <w:rsid w:val="00205FC6"/>
    <w:rsid w:val="00211A5D"/>
    <w:rsid w:val="00286C39"/>
    <w:rsid w:val="002A3BBD"/>
    <w:rsid w:val="002C6DAC"/>
    <w:rsid w:val="002E0646"/>
    <w:rsid w:val="0030404C"/>
    <w:rsid w:val="003102A1"/>
    <w:rsid w:val="00364C4C"/>
    <w:rsid w:val="003C63AC"/>
    <w:rsid w:val="003D4F67"/>
    <w:rsid w:val="00425BDE"/>
    <w:rsid w:val="00466092"/>
    <w:rsid w:val="00497F05"/>
    <w:rsid w:val="004C1FE5"/>
    <w:rsid w:val="00526C8B"/>
    <w:rsid w:val="00533A94"/>
    <w:rsid w:val="00551519"/>
    <w:rsid w:val="005A7B73"/>
    <w:rsid w:val="005B24BD"/>
    <w:rsid w:val="005B3807"/>
    <w:rsid w:val="0063784B"/>
    <w:rsid w:val="00655A4C"/>
    <w:rsid w:val="006638F4"/>
    <w:rsid w:val="00690433"/>
    <w:rsid w:val="006B309D"/>
    <w:rsid w:val="006B78F3"/>
    <w:rsid w:val="008A554F"/>
    <w:rsid w:val="008C5489"/>
    <w:rsid w:val="00910B9F"/>
    <w:rsid w:val="0095131C"/>
    <w:rsid w:val="00984681"/>
    <w:rsid w:val="009B4895"/>
    <w:rsid w:val="00A00ACC"/>
    <w:rsid w:val="00A927AF"/>
    <w:rsid w:val="00AD193C"/>
    <w:rsid w:val="00AF0419"/>
    <w:rsid w:val="00AF2388"/>
    <w:rsid w:val="00B15CEF"/>
    <w:rsid w:val="00B81071"/>
    <w:rsid w:val="00BA0F13"/>
    <w:rsid w:val="00BF2E85"/>
    <w:rsid w:val="00C143D4"/>
    <w:rsid w:val="00C405EF"/>
    <w:rsid w:val="00C43B18"/>
    <w:rsid w:val="00C805CB"/>
    <w:rsid w:val="00C86C6A"/>
    <w:rsid w:val="00C91AA5"/>
    <w:rsid w:val="00D154FC"/>
    <w:rsid w:val="00DB7F42"/>
    <w:rsid w:val="00DD2751"/>
    <w:rsid w:val="00DF666D"/>
    <w:rsid w:val="00E5171C"/>
    <w:rsid w:val="00E5355F"/>
    <w:rsid w:val="00E57F79"/>
    <w:rsid w:val="00ED5468"/>
    <w:rsid w:val="00F15A6C"/>
    <w:rsid w:val="00F406EF"/>
    <w:rsid w:val="00F57999"/>
    <w:rsid w:val="00F67E5B"/>
    <w:rsid w:val="00F76D2A"/>
    <w:rsid w:val="00FA2DC5"/>
    <w:rsid w:val="00FA49D1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98F05-F0DC-484E-B9AB-0CF05DD1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6092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466092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customStyle="1" w:styleId="ListParagraph2">
    <w:name w:val="List Paragraph2"/>
    <w:rsid w:val="00466092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66092"/>
    <w:pPr>
      <w:ind w:left="720"/>
      <w:contextualSpacing/>
    </w:pPr>
  </w:style>
  <w:style w:type="paragraph" w:styleId="Footer">
    <w:name w:val="footer"/>
    <w:basedOn w:val="Normal"/>
    <w:link w:val="FooterChar"/>
    <w:rsid w:val="004660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609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466092"/>
  </w:style>
  <w:style w:type="character" w:customStyle="1" w:styleId="apple-converted-space">
    <w:name w:val="apple-converted-space"/>
    <w:basedOn w:val="DefaultParagraphFont"/>
    <w:rsid w:val="00466092"/>
  </w:style>
  <w:style w:type="character" w:styleId="Emphasis">
    <w:name w:val="Emphasis"/>
    <w:uiPriority w:val="20"/>
    <w:qFormat/>
    <w:rsid w:val="004660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68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FE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15A6C"/>
    <w:rPr>
      <w:rFonts w:ascii="Warnock Pro" w:eastAsiaTheme="minorHAnsi" w:hAnsi="Warnock Pro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5A6C"/>
    <w:rPr>
      <w:rFonts w:ascii="Warnock Pro" w:hAnsi="Warnock Pro"/>
      <w:sz w:val="21"/>
      <w:szCs w:val="21"/>
      <w:lang w:val="en-US"/>
    </w:rPr>
  </w:style>
  <w:style w:type="table" w:customStyle="1" w:styleId="TableGrid1">
    <w:name w:val="Table Grid1"/>
    <w:basedOn w:val="TableNormal"/>
    <w:next w:val="TableGrid"/>
    <w:rsid w:val="005B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1A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A5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11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1A54-2EDB-4CF1-AD0E-DF9F8D90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3523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Janis Lielpeteris</dc:creator>
  <cp:lastModifiedBy>Jānis</cp:lastModifiedBy>
  <cp:revision>3</cp:revision>
  <cp:lastPrinted>2015-05-18T07:44:00Z</cp:lastPrinted>
  <dcterms:created xsi:type="dcterms:W3CDTF">2015-05-19T06:05:00Z</dcterms:created>
  <dcterms:modified xsi:type="dcterms:W3CDTF">2015-05-19T11:04:00Z</dcterms:modified>
</cp:coreProperties>
</file>