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F6" w:rsidRPr="00C251F6" w:rsidRDefault="00C251F6" w:rsidP="00C251F6">
      <w:pPr>
        <w:spacing w:after="0" w:line="240" w:lineRule="auto"/>
        <w:jc w:val="center"/>
        <w:rPr>
          <w:rFonts w:ascii="Times New Roman" w:hAnsi="Times New Roman"/>
          <w:b/>
          <w:bCs/>
          <w:sz w:val="24"/>
          <w:szCs w:val="24"/>
        </w:rPr>
      </w:pPr>
      <w:r w:rsidRPr="00C251F6">
        <w:rPr>
          <w:rFonts w:ascii="Times New Roman" w:hAnsi="Times New Roman"/>
          <w:b/>
          <w:sz w:val="24"/>
          <w:szCs w:val="24"/>
        </w:rPr>
        <w:t>Iepirkuma procedūras – atklātā konkursa</w:t>
      </w:r>
    </w:p>
    <w:p w:rsidR="00C251F6" w:rsidRPr="00C251F6" w:rsidRDefault="00C251F6" w:rsidP="00C251F6">
      <w:pPr>
        <w:spacing w:after="0" w:line="240" w:lineRule="auto"/>
        <w:jc w:val="center"/>
        <w:rPr>
          <w:rFonts w:ascii="Times New Roman" w:hAnsi="Times New Roman"/>
          <w:b/>
          <w:sz w:val="24"/>
          <w:szCs w:val="24"/>
        </w:rPr>
      </w:pPr>
      <w:r w:rsidRPr="00C251F6">
        <w:rPr>
          <w:rFonts w:ascii="Times New Roman" w:hAnsi="Times New Roman"/>
          <w:b/>
          <w:bCs/>
          <w:sz w:val="24"/>
          <w:szCs w:val="24"/>
        </w:rPr>
        <w:t>„</w:t>
      </w:r>
      <w:r w:rsidRPr="00C251F6">
        <w:rPr>
          <w:rFonts w:ascii="Times New Roman" w:hAnsi="Times New Roman"/>
          <w:b/>
          <w:sz w:val="24"/>
          <w:szCs w:val="24"/>
        </w:rPr>
        <w:t>Būvuzraudzības</w:t>
      </w:r>
      <w:r w:rsidRPr="00C251F6" w:rsidDel="00E36EF8">
        <w:rPr>
          <w:rFonts w:ascii="Times New Roman" w:hAnsi="Times New Roman"/>
          <w:b/>
          <w:bCs/>
          <w:iCs/>
          <w:sz w:val="24"/>
          <w:szCs w:val="24"/>
        </w:rPr>
        <w:t xml:space="preserve"> </w:t>
      </w:r>
      <w:r w:rsidRPr="00C251F6">
        <w:rPr>
          <w:rFonts w:ascii="Times New Roman" w:hAnsi="Times New Roman"/>
          <w:b/>
          <w:bCs/>
          <w:iCs/>
          <w:sz w:val="24"/>
          <w:szCs w:val="24"/>
        </w:rPr>
        <w:t>nodrošināšana</w:t>
      </w:r>
      <w:r w:rsidRPr="00C251F6">
        <w:rPr>
          <w:rFonts w:ascii="Times New Roman" w:hAnsi="Times New Roman"/>
          <w:b/>
          <w:sz w:val="24"/>
          <w:szCs w:val="24"/>
        </w:rPr>
        <w:t xml:space="preserve"> </w:t>
      </w:r>
    </w:p>
    <w:p w:rsidR="00C251F6" w:rsidRPr="00C251F6" w:rsidRDefault="00C251F6" w:rsidP="00C251F6">
      <w:pPr>
        <w:spacing w:after="0" w:line="240" w:lineRule="auto"/>
        <w:jc w:val="center"/>
        <w:rPr>
          <w:rFonts w:ascii="Times New Roman" w:hAnsi="Times New Roman"/>
          <w:b/>
          <w:bCs/>
          <w:sz w:val="24"/>
          <w:szCs w:val="24"/>
        </w:rPr>
      </w:pPr>
      <w:r w:rsidRPr="00C251F6">
        <w:rPr>
          <w:rFonts w:ascii="Times New Roman" w:hAnsi="Times New Roman"/>
          <w:b/>
          <w:sz w:val="24"/>
          <w:szCs w:val="24"/>
        </w:rPr>
        <w:t>Latvijas Universitātes Akadēmiskā centra Torņakalnā, Rīgā, 1.kārtas būvniecības laikā</w:t>
      </w:r>
      <w:r w:rsidRPr="00C251F6">
        <w:rPr>
          <w:rFonts w:ascii="Times New Roman" w:hAnsi="Times New Roman"/>
          <w:b/>
          <w:bCs/>
          <w:sz w:val="24"/>
          <w:szCs w:val="24"/>
        </w:rPr>
        <w:t>”</w:t>
      </w:r>
    </w:p>
    <w:p w:rsidR="00C251F6" w:rsidRPr="00C251F6" w:rsidRDefault="00C251F6" w:rsidP="00C251F6">
      <w:pPr>
        <w:spacing w:after="0" w:line="240" w:lineRule="auto"/>
        <w:jc w:val="center"/>
        <w:rPr>
          <w:rFonts w:ascii="Times New Roman" w:hAnsi="Times New Roman"/>
          <w:b/>
          <w:sz w:val="24"/>
          <w:szCs w:val="24"/>
        </w:rPr>
      </w:pPr>
      <w:r w:rsidRPr="00C251F6">
        <w:rPr>
          <w:rFonts w:ascii="Times New Roman" w:hAnsi="Times New Roman"/>
          <w:b/>
          <w:sz w:val="24"/>
          <w:szCs w:val="24"/>
        </w:rPr>
        <w:t xml:space="preserve">(iepirkuma identifikācijas Nr. LU </w:t>
      </w:r>
      <w:r w:rsidRPr="00C251F6">
        <w:rPr>
          <w:rFonts w:ascii="Times New Roman" w:hAnsi="Times New Roman"/>
          <w:b/>
          <w:bCs/>
          <w:iCs/>
          <w:sz w:val="24"/>
          <w:szCs w:val="24"/>
        </w:rPr>
        <w:t>2014/4_ERAF</w:t>
      </w:r>
      <w:r w:rsidRPr="00C251F6">
        <w:rPr>
          <w:rFonts w:ascii="Times New Roman" w:hAnsi="Times New Roman"/>
          <w:b/>
          <w:sz w:val="24"/>
          <w:szCs w:val="24"/>
        </w:rPr>
        <w:t>)</w:t>
      </w:r>
    </w:p>
    <w:p w:rsidR="00FD0E48" w:rsidRPr="00C251F6" w:rsidRDefault="00FD0E48" w:rsidP="007F44B8">
      <w:pPr>
        <w:spacing w:after="100" w:line="26" w:lineRule="atLeast"/>
        <w:jc w:val="center"/>
        <w:rPr>
          <w:rFonts w:ascii="Times New Roman" w:hAnsi="Times New Roman"/>
          <w:b/>
          <w:sz w:val="24"/>
          <w:szCs w:val="24"/>
        </w:rPr>
      </w:pPr>
      <w:r w:rsidRPr="00C251F6">
        <w:rPr>
          <w:rFonts w:ascii="Times New Roman" w:hAnsi="Times New Roman"/>
          <w:b/>
          <w:sz w:val="24"/>
          <w:szCs w:val="24"/>
        </w:rPr>
        <w:t>ZIŅOJUMS</w:t>
      </w:r>
    </w:p>
    <w:p w:rsidR="00B815BA" w:rsidRPr="007F44B8" w:rsidRDefault="00C251F6" w:rsidP="007F44B8">
      <w:pPr>
        <w:spacing w:after="100" w:line="26" w:lineRule="atLeast"/>
        <w:jc w:val="center"/>
        <w:rPr>
          <w:rFonts w:ascii="Times New Roman" w:hAnsi="Times New Roman"/>
          <w:sz w:val="24"/>
          <w:szCs w:val="24"/>
        </w:rPr>
      </w:pPr>
      <w:r>
        <w:rPr>
          <w:rFonts w:ascii="Times New Roman" w:hAnsi="Times New Roman"/>
          <w:sz w:val="24"/>
          <w:szCs w:val="24"/>
        </w:rPr>
        <w:t>Rīgā</w:t>
      </w:r>
      <w:r w:rsidR="00B815BA" w:rsidRPr="007F44B8">
        <w:rPr>
          <w:rFonts w:ascii="Times New Roman" w:hAnsi="Times New Roman"/>
          <w:sz w:val="24"/>
          <w:szCs w:val="24"/>
        </w:rPr>
        <w:t>, 201</w:t>
      </w:r>
      <w:r>
        <w:rPr>
          <w:rFonts w:ascii="Times New Roman" w:hAnsi="Times New Roman"/>
          <w:sz w:val="24"/>
          <w:szCs w:val="24"/>
        </w:rPr>
        <w:t>4</w:t>
      </w:r>
      <w:r w:rsidR="00B815BA" w:rsidRPr="007F44B8">
        <w:rPr>
          <w:rFonts w:ascii="Times New Roman" w:hAnsi="Times New Roman"/>
          <w:sz w:val="24"/>
          <w:szCs w:val="24"/>
        </w:rPr>
        <w:t xml:space="preserve">.gada </w:t>
      </w:r>
      <w:r w:rsidR="00E46698">
        <w:rPr>
          <w:rFonts w:ascii="Times New Roman" w:hAnsi="Times New Roman"/>
          <w:sz w:val="24"/>
          <w:szCs w:val="24"/>
        </w:rPr>
        <w:t>11</w:t>
      </w:r>
      <w:r w:rsidR="00B815BA" w:rsidRPr="007F44B8">
        <w:rPr>
          <w:rFonts w:ascii="Times New Roman" w:hAnsi="Times New Roman"/>
          <w:sz w:val="24"/>
          <w:szCs w:val="24"/>
        </w:rPr>
        <w:t>.</w:t>
      </w:r>
      <w:r w:rsidR="00E46698">
        <w:rPr>
          <w:rFonts w:ascii="Times New Roman" w:hAnsi="Times New Roman"/>
          <w:sz w:val="24"/>
          <w:szCs w:val="24"/>
        </w:rPr>
        <w:t>novembrī</w:t>
      </w:r>
    </w:p>
    <w:p w:rsidR="00B815BA" w:rsidRPr="00F40638" w:rsidRDefault="00B815BA" w:rsidP="007F44B8">
      <w:pPr>
        <w:spacing w:after="100" w:line="26" w:lineRule="atLeast"/>
        <w:jc w:val="center"/>
        <w:rPr>
          <w:rFonts w:ascii="Times New Roman" w:hAnsi="Times New Roman"/>
          <w:sz w:val="12"/>
          <w:szCs w:val="24"/>
        </w:rPr>
      </w:pPr>
    </w:p>
    <w:p w:rsidR="00C251F6" w:rsidRPr="00C251F6" w:rsidRDefault="00C251F6" w:rsidP="00C251F6">
      <w:pPr>
        <w:pStyle w:val="ListParagraph2"/>
        <w:tabs>
          <w:tab w:val="num" w:pos="709"/>
        </w:tabs>
        <w:ind w:left="0"/>
        <w:jc w:val="both"/>
        <w:rPr>
          <w:bCs/>
          <w:color w:val="auto"/>
        </w:rPr>
      </w:pPr>
      <w:r w:rsidRPr="00C251F6">
        <w:rPr>
          <w:b/>
          <w:u w:val="single"/>
        </w:rPr>
        <w:t>Pasūtītājs</w:t>
      </w:r>
      <w:r w:rsidRPr="00C251F6">
        <w:t xml:space="preserve">: Latvijas Universitāte, </w:t>
      </w:r>
      <w:r w:rsidRPr="00C251F6">
        <w:rPr>
          <w:bCs/>
        </w:rPr>
        <w:t>Raiņa bulvāris 19, Rīga, LV 1586, Latvija</w:t>
      </w:r>
      <w:r w:rsidRPr="00C251F6">
        <w:t>.</w:t>
      </w:r>
    </w:p>
    <w:p w:rsidR="00C251F6" w:rsidRDefault="00C251F6" w:rsidP="00C251F6">
      <w:pPr>
        <w:spacing w:after="0" w:line="240" w:lineRule="auto"/>
        <w:jc w:val="both"/>
        <w:rPr>
          <w:rFonts w:ascii="Times New Roman" w:hAnsi="Times New Roman"/>
          <w:sz w:val="24"/>
          <w:szCs w:val="24"/>
        </w:rPr>
      </w:pPr>
      <w:r w:rsidRPr="00C251F6">
        <w:rPr>
          <w:rFonts w:ascii="Times New Roman" w:hAnsi="Times New Roman"/>
          <w:b/>
          <w:sz w:val="24"/>
          <w:szCs w:val="24"/>
          <w:u w:val="single"/>
        </w:rPr>
        <w:t>Iepirkuma priekšmets</w:t>
      </w:r>
      <w:r w:rsidRPr="00C251F6">
        <w:rPr>
          <w:rFonts w:ascii="Times New Roman" w:hAnsi="Times New Roman"/>
          <w:sz w:val="24"/>
          <w:szCs w:val="24"/>
        </w:rPr>
        <w:t>: būvuzraudzības veikšana Akadēmiskā centra Torņakalnā, Rīgā, 1. kārtas būvniecības laikā (CPV kods: 71521000-6).</w:t>
      </w:r>
    </w:p>
    <w:p w:rsidR="00C251F6" w:rsidRDefault="00C251F6" w:rsidP="00C251F6">
      <w:pPr>
        <w:spacing w:after="0" w:line="240" w:lineRule="auto"/>
        <w:jc w:val="both"/>
        <w:rPr>
          <w:rFonts w:ascii="Times New Roman" w:hAnsi="Times New Roman"/>
          <w:sz w:val="24"/>
          <w:szCs w:val="24"/>
        </w:rPr>
      </w:pPr>
      <w:r w:rsidRPr="00C251F6">
        <w:rPr>
          <w:rFonts w:ascii="Times New Roman" w:hAnsi="Times New Roman"/>
          <w:b/>
          <w:sz w:val="24"/>
          <w:szCs w:val="24"/>
          <w:u w:val="single"/>
        </w:rPr>
        <w:t>Iepirkuma identifikācijas numurs</w:t>
      </w:r>
      <w:r>
        <w:rPr>
          <w:rFonts w:ascii="Times New Roman" w:hAnsi="Times New Roman"/>
          <w:b/>
          <w:sz w:val="24"/>
          <w:szCs w:val="24"/>
        </w:rPr>
        <w:t xml:space="preserve">: </w:t>
      </w:r>
      <w:r w:rsidRPr="00C251F6">
        <w:rPr>
          <w:rFonts w:ascii="Times New Roman" w:hAnsi="Times New Roman"/>
          <w:sz w:val="24"/>
          <w:szCs w:val="24"/>
        </w:rPr>
        <w:t xml:space="preserve">LU </w:t>
      </w:r>
      <w:r w:rsidRPr="00C251F6">
        <w:rPr>
          <w:rFonts w:ascii="Times New Roman" w:hAnsi="Times New Roman"/>
          <w:bCs/>
          <w:iCs/>
          <w:sz w:val="24"/>
          <w:szCs w:val="24"/>
        </w:rPr>
        <w:t>2014/4_ERAF</w:t>
      </w:r>
      <w:r>
        <w:rPr>
          <w:rFonts w:ascii="Times New Roman" w:hAnsi="Times New Roman"/>
          <w:bCs/>
          <w:iCs/>
          <w:sz w:val="24"/>
          <w:szCs w:val="24"/>
        </w:rPr>
        <w:t>.</w:t>
      </w:r>
    </w:p>
    <w:p w:rsidR="00C251F6" w:rsidRDefault="00C251F6" w:rsidP="00C251F6">
      <w:pPr>
        <w:spacing w:after="0" w:line="240" w:lineRule="auto"/>
        <w:jc w:val="both"/>
        <w:rPr>
          <w:rFonts w:ascii="Times New Roman" w:hAnsi="Times New Roman"/>
          <w:sz w:val="24"/>
          <w:szCs w:val="24"/>
        </w:rPr>
      </w:pPr>
      <w:r w:rsidRPr="00C251F6">
        <w:rPr>
          <w:rFonts w:ascii="Times New Roman" w:hAnsi="Times New Roman"/>
          <w:b/>
          <w:sz w:val="24"/>
          <w:szCs w:val="24"/>
          <w:u w:val="single"/>
        </w:rPr>
        <w:t>Iepirkuma metode:</w:t>
      </w:r>
      <w:r w:rsidRPr="00C251F6">
        <w:rPr>
          <w:rFonts w:ascii="Times New Roman" w:hAnsi="Times New Roman"/>
          <w:sz w:val="24"/>
          <w:szCs w:val="24"/>
        </w:rPr>
        <w:t xml:space="preserve"> atklāts konkurss saskaņā ar Publisko iepirkumu likumu.</w:t>
      </w:r>
    </w:p>
    <w:p w:rsidR="00C251F6" w:rsidRPr="00C251F6" w:rsidRDefault="00C251F6" w:rsidP="00C251F6">
      <w:pPr>
        <w:spacing w:after="0" w:line="240" w:lineRule="auto"/>
        <w:jc w:val="both"/>
        <w:rPr>
          <w:rFonts w:ascii="Times New Roman" w:hAnsi="Times New Roman"/>
          <w:b/>
          <w:sz w:val="24"/>
          <w:szCs w:val="24"/>
        </w:rPr>
      </w:pPr>
      <w:r w:rsidRPr="00525F02">
        <w:rPr>
          <w:rFonts w:ascii="Times New Roman" w:hAnsi="Times New Roman"/>
          <w:b/>
          <w:sz w:val="24"/>
          <w:szCs w:val="24"/>
          <w:u w:val="single"/>
        </w:rPr>
        <w:t>Datums, kad paziņojums par līgumu publicēts Iepirkumu uzraudzības biroja mājaslapā</w:t>
      </w:r>
      <w:r>
        <w:rPr>
          <w:rFonts w:ascii="Times New Roman" w:hAnsi="Times New Roman"/>
          <w:b/>
          <w:sz w:val="24"/>
          <w:szCs w:val="24"/>
        </w:rPr>
        <w:t xml:space="preserve">: </w:t>
      </w:r>
      <w:r>
        <w:rPr>
          <w:rFonts w:ascii="Times New Roman" w:hAnsi="Times New Roman"/>
          <w:sz w:val="24"/>
          <w:szCs w:val="24"/>
        </w:rPr>
        <w:t xml:space="preserve">2014.gada </w:t>
      </w:r>
      <w:r w:rsidR="00692A7D">
        <w:rPr>
          <w:rFonts w:ascii="Times New Roman" w:hAnsi="Times New Roman"/>
          <w:sz w:val="24"/>
          <w:szCs w:val="24"/>
        </w:rPr>
        <w:t>20</w:t>
      </w:r>
      <w:r>
        <w:rPr>
          <w:rFonts w:ascii="Times New Roman" w:hAnsi="Times New Roman"/>
          <w:sz w:val="24"/>
          <w:szCs w:val="24"/>
        </w:rPr>
        <w:t>.</w:t>
      </w:r>
      <w:r w:rsidR="00692A7D">
        <w:rPr>
          <w:rFonts w:ascii="Times New Roman" w:hAnsi="Times New Roman"/>
          <w:sz w:val="24"/>
          <w:szCs w:val="24"/>
        </w:rPr>
        <w:t>janvārī.</w:t>
      </w:r>
    </w:p>
    <w:p w:rsidR="00692A7D" w:rsidRPr="00692A7D" w:rsidRDefault="00525F02" w:rsidP="00692A7D">
      <w:pPr>
        <w:pStyle w:val="Heading3"/>
        <w:spacing w:before="0" w:beforeAutospacing="0" w:after="0" w:afterAutospacing="0"/>
        <w:rPr>
          <w:color w:val="000000"/>
          <w:sz w:val="24"/>
          <w:szCs w:val="24"/>
        </w:rPr>
      </w:pPr>
      <w:r w:rsidRPr="00692A7D">
        <w:rPr>
          <w:sz w:val="24"/>
          <w:szCs w:val="24"/>
          <w:u w:val="single"/>
        </w:rPr>
        <w:t xml:space="preserve">Datums, kad paziņojums par līgumu publicēts </w:t>
      </w:r>
      <w:r w:rsidR="00692A7D" w:rsidRPr="00692A7D">
        <w:rPr>
          <w:color w:val="000000"/>
          <w:sz w:val="24"/>
          <w:szCs w:val="24"/>
          <w:u w:val="single"/>
        </w:rPr>
        <w:t>Eiropas Savienības Oficiālajā Vēstnesī</w:t>
      </w:r>
      <w:r w:rsidR="00692A7D" w:rsidRPr="00692A7D">
        <w:rPr>
          <w:color w:val="000000"/>
          <w:sz w:val="24"/>
          <w:szCs w:val="24"/>
        </w:rPr>
        <w:t>:</w:t>
      </w:r>
      <w:r w:rsidR="00692A7D">
        <w:rPr>
          <w:color w:val="000000"/>
          <w:sz w:val="24"/>
          <w:szCs w:val="24"/>
        </w:rPr>
        <w:t xml:space="preserve"> </w:t>
      </w:r>
      <w:r w:rsidR="00692A7D" w:rsidRPr="00692A7D">
        <w:rPr>
          <w:b w:val="0"/>
          <w:color w:val="000000"/>
          <w:sz w:val="24"/>
          <w:szCs w:val="24"/>
        </w:rPr>
        <w:t>2014.gada 22.ja</w:t>
      </w:r>
      <w:r w:rsidR="00E46698">
        <w:rPr>
          <w:b w:val="0"/>
          <w:color w:val="000000"/>
          <w:sz w:val="24"/>
          <w:szCs w:val="24"/>
        </w:rPr>
        <w:t>n</w:t>
      </w:r>
      <w:r w:rsidR="00692A7D" w:rsidRPr="00692A7D">
        <w:rPr>
          <w:b w:val="0"/>
          <w:color w:val="000000"/>
          <w:sz w:val="24"/>
          <w:szCs w:val="24"/>
        </w:rPr>
        <w:t>vārī.</w:t>
      </w:r>
    </w:p>
    <w:p w:rsidR="00C251F6" w:rsidRPr="00692A7D" w:rsidRDefault="00692A7D" w:rsidP="00692A7D">
      <w:pPr>
        <w:spacing w:after="100" w:line="26" w:lineRule="atLeast"/>
        <w:rPr>
          <w:rFonts w:ascii="Times New Roman" w:hAnsi="Times New Roman"/>
          <w:b/>
          <w:sz w:val="24"/>
          <w:szCs w:val="24"/>
          <w:u w:val="single"/>
        </w:rPr>
      </w:pPr>
      <w:r w:rsidRPr="00692A7D">
        <w:rPr>
          <w:rFonts w:ascii="Times New Roman" w:hAnsi="Times New Roman"/>
          <w:b/>
          <w:sz w:val="24"/>
          <w:szCs w:val="24"/>
          <w:u w:val="single"/>
        </w:rPr>
        <w:t>Iepirkuma komisijas sastāvs un tās izveidošanas pamatojums:</w:t>
      </w:r>
      <w:r>
        <w:rPr>
          <w:rFonts w:ascii="Times New Roman" w:hAnsi="Times New Roman"/>
          <w:b/>
          <w:sz w:val="24"/>
          <w:szCs w:val="24"/>
          <w:u w:val="single"/>
        </w:rPr>
        <w:t xml:space="preserve"> </w:t>
      </w:r>
      <w:r w:rsidR="00C251F6" w:rsidRPr="00C251F6">
        <w:rPr>
          <w:rFonts w:ascii="Times New Roman" w:hAnsi="Times New Roman"/>
          <w:sz w:val="24"/>
          <w:szCs w:val="24"/>
        </w:rPr>
        <w:t>Izveidota pamatojoties uz Latvijas Universitātes 2014.gada 13.janvāra rīkojumu Nr.1/12.</w:t>
      </w:r>
    </w:p>
    <w:p w:rsidR="00C251F6" w:rsidRPr="00C251F6" w:rsidRDefault="00C251F6" w:rsidP="00C251F6">
      <w:pPr>
        <w:jc w:val="both"/>
        <w:rPr>
          <w:rFonts w:ascii="Times New Roman" w:hAnsi="Times New Roman"/>
          <w:sz w:val="24"/>
          <w:szCs w:val="24"/>
        </w:rPr>
      </w:pPr>
      <w:r w:rsidRPr="00C251F6">
        <w:rPr>
          <w:rFonts w:ascii="Times New Roman" w:hAnsi="Times New Roman"/>
          <w:sz w:val="24"/>
          <w:szCs w:val="24"/>
        </w:rPr>
        <w:t>Komisijas sastāvs:</w:t>
      </w:r>
    </w:p>
    <w:p w:rsidR="00C251F6" w:rsidRPr="00C251F6" w:rsidRDefault="00C251F6" w:rsidP="00C251F6">
      <w:pPr>
        <w:pStyle w:val="BodyText"/>
        <w:rPr>
          <w:sz w:val="24"/>
          <w:szCs w:val="24"/>
        </w:rPr>
      </w:pPr>
      <w:r w:rsidRPr="00C251F6">
        <w:rPr>
          <w:sz w:val="24"/>
          <w:szCs w:val="24"/>
        </w:rPr>
        <w:t xml:space="preserve">Komisijas priekšsēdētājs: </w:t>
      </w:r>
    </w:p>
    <w:p w:rsidR="00C251F6" w:rsidRPr="00C251F6" w:rsidRDefault="00C251F6" w:rsidP="00C251F6">
      <w:pPr>
        <w:pStyle w:val="BodyText"/>
        <w:ind w:firstLine="720"/>
        <w:rPr>
          <w:sz w:val="24"/>
          <w:szCs w:val="24"/>
        </w:rPr>
      </w:pPr>
      <w:r w:rsidRPr="00C251F6">
        <w:rPr>
          <w:sz w:val="24"/>
          <w:szCs w:val="24"/>
        </w:rPr>
        <w:t>Atis Peičs – LU direktors;</w:t>
      </w:r>
    </w:p>
    <w:p w:rsidR="00C251F6" w:rsidRPr="00C251F6" w:rsidRDefault="00C251F6" w:rsidP="00C251F6">
      <w:pPr>
        <w:pStyle w:val="BodyText"/>
        <w:rPr>
          <w:sz w:val="24"/>
          <w:szCs w:val="24"/>
        </w:rPr>
      </w:pPr>
      <w:r w:rsidRPr="00C251F6">
        <w:rPr>
          <w:sz w:val="24"/>
          <w:szCs w:val="24"/>
        </w:rPr>
        <w:t>Komisijas priekšsēdētāja vietnieks:</w:t>
      </w:r>
    </w:p>
    <w:p w:rsidR="00C251F6" w:rsidRPr="00C251F6" w:rsidRDefault="00C251F6" w:rsidP="00C251F6">
      <w:pPr>
        <w:pStyle w:val="BodyText"/>
        <w:ind w:firstLine="720"/>
        <w:rPr>
          <w:sz w:val="24"/>
          <w:szCs w:val="24"/>
        </w:rPr>
      </w:pPr>
      <w:r w:rsidRPr="00C251F6">
        <w:rPr>
          <w:sz w:val="24"/>
          <w:szCs w:val="24"/>
        </w:rPr>
        <w:t>Gundars Bērziņš – LU kanclers;</w:t>
      </w:r>
    </w:p>
    <w:p w:rsidR="00C251F6" w:rsidRPr="00C251F6" w:rsidRDefault="00C251F6" w:rsidP="00C251F6">
      <w:pPr>
        <w:pStyle w:val="BodyText"/>
        <w:rPr>
          <w:sz w:val="24"/>
          <w:szCs w:val="24"/>
        </w:rPr>
      </w:pPr>
      <w:r w:rsidRPr="00C251F6">
        <w:rPr>
          <w:sz w:val="24"/>
          <w:szCs w:val="24"/>
        </w:rPr>
        <w:t>Komisijas locekļi:</w:t>
      </w:r>
    </w:p>
    <w:p w:rsidR="00C251F6" w:rsidRPr="00692A7D" w:rsidRDefault="00C251F6" w:rsidP="00C251F6">
      <w:pPr>
        <w:ind w:firstLine="709"/>
        <w:jc w:val="both"/>
        <w:rPr>
          <w:rFonts w:ascii="Times New Roman" w:hAnsi="Times New Roman"/>
          <w:sz w:val="24"/>
          <w:szCs w:val="24"/>
        </w:rPr>
      </w:pPr>
      <w:r w:rsidRPr="00692A7D">
        <w:rPr>
          <w:rFonts w:ascii="Times New Roman" w:hAnsi="Times New Roman"/>
          <w:sz w:val="24"/>
          <w:szCs w:val="24"/>
        </w:rPr>
        <w:t xml:space="preserve">Kitija Freija – LU rektora vietniece infrastruktūras attīstības jautājumos; </w:t>
      </w:r>
    </w:p>
    <w:p w:rsidR="00C251F6" w:rsidRPr="00692A7D" w:rsidRDefault="00C251F6" w:rsidP="00C251F6">
      <w:pPr>
        <w:ind w:firstLine="709"/>
        <w:jc w:val="both"/>
        <w:rPr>
          <w:rFonts w:ascii="Times New Roman" w:hAnsi="Times New Roman"/>
          <w:sz w:val="24"/>
          <w:szCs w:val="24"/>
        </w:rPr>
      </w:pPr>
      <w:r w:rsidRPr="00692A7D">
        <w:rPr>
          <w:rFonts w:ascii="Times New Roman" w:hAnsi="Times New Roman"/>
          <w:sz w:val="24"/>
          <w:szCs w:val="24"/>
        </w:rPr>
        <w:t xml:space="preserve">Valdis Krastiņš – LU galvenais inženieris; </w:t>
      </w:r>
    </w:p>
    <w:p w:rsidR="00C251F6" w:rsidRPr="00692A7D" w:rsidRDefault="00C251F6" w:rsidP="00C251F6">
      <w:pPr>
        <w:ind w:firstLine="709"/>
        <w:jc w:val="both"/>
        <w:rPr>
          <w:rFonts w:ascii="Times New Roman" w:hAnsi="Times New Roman"/>
          <w:sz w:val="24"/>
          <w:szCs w:val="24"/>
        </w:rPr>
      </w:pPr>
      <w:r w:rsidRPr="00692A7D">
        <w:rPr>
          <w:rFonts w:ascii="Times New Roman" w:hAnsi="Times New Roman"/>
          <w:sz w:val="24"/>
          <w:szCs w:val="24"/>
        </w:rPr>
        <w:t>Kristīne Zubkāne – LU Attīstības un plānošanas departamenta juriste;</w:t>
      </w:r>
    </w:p>
    <w:p w:rsidR="00C251F6" w:rsidRPr="00692A7D" w:rsidRDefault="00C251F6" w:rsidP="00C251F6">
      <w:pPr>
        <w:ind w:firstLine="709"/>
        <w:jc w:val="both"/>
        <w:rPr>
          <w:rFonts w:ascii="Times New Roman" w:hAnsi="Times New Roman"/>
          <w:sz w:val="24"/>
          <w:szCs w:val="24"/>
        </w:rPr>
      </w:pPr>
      <w:r w:rsidRPr="00692A7D">
        <w:rPr>
          <w:rFonts w:ascii="Times New Roman" w:hAnsi="Times New Roman"/>
          <w:sz w:val="24"/>
          <w:szCs w:val="24"/>
        </w:rPr>
        <w:t>Imants Klāvs – LU Attīstības un plānošanas departamenta projektu koordinators;</w:t>
      </w:r>
    </w:p>
    <w:p w:rsidR="00C251F6" w:rsidRPr="00692A7D" w:rsidRDefault="00C251F6" w:rsidP="00C251F6">
      <w:pPr>
        <w:ind w:firstLine="709"/>
        <w:jc w:val="both"/>
        <w:rPr>
          <w:rFonts w:ascii="Times New Roman" w:hAnsi="Times New Roman"/>
          <w:sz w:val="24"/>
          <w:szCs w:val="24"/>
        </w:rPr>
      </w:pPr>
      <w:r w:rsidRPr="00692A7D">
        <w:rPr>
          <w:rFonts w:ascii="Times New Roman" w:hAnsi="Times New Roman"/>
          <w:sz w:val="24"/>
          <w:szCs w:val="24"/>
        </w:rPr>
        <w:t>Oļģerts Nikodemus –</w:t>
      </w:r>
      <w:r w:rsidRPr="00692A7D">
        <w:rPr>
          <w:rFonts w:ascii="Times New Roman" w:hAnsi="Times New Roman"/>
          <w:b/>
          <w:sz w:val="24"/>
          <w:szCs w:val="24"/>
        </w:rPr>
        <w:t xml:space="preserve"> </w:t>
      </w:r>
      <w:r w:rsidRPr="00692A7D">
        <w:rPr>
          <w:rFonts w:ascii="Times New Roman" w:hAnsi="Times New Roman"/>
          <w:sz w:val="24"/>
          <w:szCs w:val="24"/>
        </w:rPr>
        <w:t>LU Ģeogrāfijas un Zemes zinātņu fakultātes dekāns.</w:t>
      </w:r>
    </w:p>
    <w:p w:rsidR="00FD0E48" w:rsidRPr="00DD3894" w:rsidRDefault="00DD3894" w:rsidP="00DD3894">
      <w:pPr>
        <w:spacing w:after="0" w:line="26" w:lineRule="atLeast"/>
        <w:rPr>
          <w:rFonts w:ascii="Times New Roman" w:hAnsi="Times New Roman"/>
          <w:b/>
          <w:sz w:val="24"/>
          <w:szCs w:val="24"/>
        </w:rPr>
      </w:pPr>
      <w:r w:rsidRPr="00DD3894">
        <w:rPr>
          <w:rFonts w:ascii="Times New Roman" w:hAnsi="Times New Roman"/>
          <w:b/>
          <w:bCs/>
          <w:sz w:val="24"/>
          <w:szCs w:val="24"/>
          <w:u w:val="single"/>
        </w:rPr>
        <w:t xml:space="preserve">Kvalifikācijas prasības </w:t>
      </w:r>
      <w:r w:rsidRPr="00DD3894">
        <w:rPr>
          <w:rFonts w:ascii="Times New Roman" w:hAnsi="Times New Roman"/>
          <w:b/>
          <w:sz w:val="24"/>
          <w:szCs w:val="24"/>
          <w:u w:val="single"/>
        </w:rPr>
        <w:t>attiecībā uz pretendentu</w:t>
      </w:r>
      <w:r w:rsidR="00971063" w:rsidRPr="00DD3894">
        <w:rPr>
          <w:rFonts w:ascii="Times New Roman" w:hAnsi="Times New Roman"/>
          <w:b/>
          <w:sz w:val="24"/>
          <w:szCs w:val="24"/>
        </w:rPr>
        <w:t>:</w:t>
      </w:r>
    </w:p>
    <w:p w:rsidR="00DD3894" w:rsidRPr="00DD3894" w:rsidRDefault="00DD3894" w:rsidP="00DD3894">
      <w:pPr>
        <w:numPr>
          <w:ilvl w:val="1"/>
          <w:numId w:val="7"/>
        </w:numPr>
        <w:suppressAutoHyphens/>
        <w:spacing w:after="0" w:line="240" w:lineRule="auto"/>
        <w:ind w:left="709"/>
        <w:jc w:val="both"/>
        <w:rPr>
          <w:rFonts w:ascii="Times New Roman" w:hAnsi="Times New Roman"/>
          <w:b/>
          <w:sz w:val="24"/>
          <w:szCs w:val="24"/>
        </w:rPr>
      </w:pPr>
      <w:r>
        <w:rPr>
          <w:rFonts w:ascii="Times New Roman" w:hAnsi="Times New Roman"/>
          <w:sz w:val="24"/>
          <w:szCs w:val="24"/>
        </w:rPr>
        <w:t>p</w:t>
      </w:r>
      <w:r w:rsidRPr="00DD3894">
        <w:rPr>
          <w:rFonts w:ascii="Times New Roman" w:hAnsi="Times New Roman"/>
          <w:sz w:val="24"/>
          <w:szCs w:val="24"/>
        </w:rPr>
        <w:t>retendents, personālsabiedrība un visi personālsabiedrības biedri (ja piedāvājumu iesniedz personālsabiedrība) vai visi piegādātāju apvienības dalībnieki (ja piedāvājumu iesniedz piegādātāju apvienība), kā arī apakšuzņēmēji (ja pretendents plāno piesaistīt apakšuzņēmējus) normatīvajos aktos noteiktajos gadījumos un normatīvajos aktos noteiktajā kārtībā ir reģistrēti komercreģistrā vai līdzvērtīgā reģistrā ārvalstīs.</w:t>
      </w:r>
    </w:p>
    <w:p w:rsidR="00DD3894" w:rsidRPr="00DD3894" w:rsidRDefault="00DD3894" w:rsidP="00DD3894">
      <w:pPr>
        <w:numPr>
          <w:ilvl w:val="1"/>
          <w:numId w:val="7"/>
        </w:numPr>
        <w:suppressAutoHyphens/>
        <w:spacing w:after="0" w:line="240" w:lineRule="auto"/>
        <w:ind w:left="709"/>
        <w:jc w:val="both"/>
        <w:rPr>
          <w:rFonts w:ascii="Times New Roman" w:hAnsi="Times New Roman"/>
          <w:b/>
          <w:sz w:val="24"/>
          <w:szCs w:val="24"/>
        </w:rPr>
      </w:pPr>
      <w:r>
        <w:rPr>
          <w:rFonts w:ascii="Times New Roman" w:hAnsi="Times New Roman"/>
          <w:sz w:val="24"/>
          <w:szCs w:val="24"/>
        </w:rPr>
        <w:t>p</w:t>
      </w:r>
      <w:r w:rsidRPr="00DD3894">
        <w:rPr>
          <w:rFonts w:ascii="Times New Roman" w:hAnsi="Times New Roman"/>
          <w:sz w:val="24"/>
          <w:szCs w:val="24"/>
        </w:rPr>
        <w:t>retendents, personālsabiedrības biedrs, piegādātāju apvienības dalībnieks (ja piedāvājumu iesniedz personālsabiedrība vai piegādātāju apvienība) vai apakšuzņēmējs (ja pretendents plāno piesaistīt apakšuzņēmējus), kas veiks darbus reglamentētajā sfērā, normatīvajos aktos noteiktajos gadījumos un normatīvajos aktos noteiktajā kārtībā ir reģistrēti būvkomersantu reģistrā vai līdzvērtīgā profesionālā reģistrā ārvalstīs.</w:t>
      </w:r>
    </w:p>
    <w:p w:rsidR="00DD3894" w:rsidRPr="00DD3894" w:rsidRDefault="00DD3894" w:rsidP="00DD3894">
      <w:pPr>
        <w:numPr>
          <w:ilvl w:val="1"/>
          <w:numId w:val="7"/>
        </w:numPr>
        <w:suppressAutoHyphens/>
        <w:spacing w:after="0" w:line="240" w:lineRule="auto"/>
        <w:ind w:left="709"/>
        <w:jc w:val="both"/>
        <w:rPr>
          <w:rFonts w:ascii="Times New Roman" w:hAnsi="Times New Roman"/>
          <w:b/>
          <w:sz w:val="24"/>
          <w:szCs w:val="24"/>
        </w:rPr>
      </w:pPr>
      <w:r>
        <w:rPr>
          <w:rFonts w:ascii="Times New Roman" w:hAnsi="Times New Roman"/>
          <w:sz w:val="24"/>
          <w:szCs w:val="24"/>
        </w:rPr>
        <w:t>p</w:t>
      </w:r>
      <w:r w:rsidRPr="00DD3894">
        <w:rPr>
          <w:rFonts w:ascii="Times New Roman" w:hAnsi="Times New Roman"/>
          <w:sz w:val="24"/>
          <w:szCs w:val="24"/>
        </w:rPr>
        <w:t>retendentam iepriekšējo 5 gadu periodā ir pabeidzis vismaz 2 (divus) būvuzraudzības līgumus, katra būvuzraudzības līguma ietvaros būvdarbu vērtība ir bijusi vismaz 15 miljonu latu un attiecīgie būvobjekti ir nodoti ekspluatācijā.</w:t>
      </w:r>
    </w:p>
    <w:p w:rsidR="00DD3894" w:rsidRPr="00DD3894" w:rsidRDefault="00DD3894" w:rsidP="00DD3894">
      <w:pPr>
        <w:numPr>
          <w:ilvl w:val="1"/>
          <w:numId w:val="7"/>
        </w:numPr>
        <w:suppressAutoHyphens/>
        <w:spacing w:after="0" w:line="240" w:lineRule="auto"/>
        <w:ind w:left="709"/>
        <w:jc w:val="both"/>
        <w:rPr>
          <w:rFonts w:ascii="Times New Roman" w:hAnsi="Times New Roman"/>
          <w:b/>
          <w:color w:val="00B050"/>
          <w:sz w:val="24"/>
          <w:szCs w:val="24"/>
        </w:rPr>
      </w:pPr>
      <w:r>
        <w:rPr>
          <w:rFonts w:ascii="Times New Roman" w:hAnsi="Times New Roman"/>
          <w:sz w:val="24"/>
          <w:szCs w:val="24"/>
        </w:rPr>
        <w:t>p</w:t>
      </w:r>
      <w:r w:rsidRPr="00DD3894">
        <w:rPr>
          <w:rFonts w:ascii="Times New Roman" w:hAnsi="Times New Roman"/>
          <w:sz w:val="24"/>
          <w:szCs w:val="24"/>
        </w:rPr>
        <w:t xml:space="preserve">retendentam ir pieredze būvuzraudzības pakalpojumu sniegšanā līdzīga apjoma un sarežģītības projektos. Līdzīgas sarežģītības projekti nozīmē projektus ar inženiertīklu un </w:t>
      </w:r>
      <w:r w:rsidRPr="00DD3894">
        <w:rPr>
          <w:rFonts w:ascii="Times New Roman" w:hAnsi="Times New Roman"/>
          <w:sz w:val="24"/>
          <w:szCs w:val="24"/>
        </w:rPr>
        <w:lastRenderedPageBreak/>
        <w:t>elektroapgādes sistēmām, vājstrāvas sistēmu vadības punktiem, inteliģentu ēkas pārvaldības sistēmu, augstas kvalitātes apdarēm un laboratorijas telpu izbūvēm.</w:t>
      </w:r>
    </w:p>
    <w:p w:rsidR="00DD3894" w:rsidRPr="00DD3894" w:rsidRDefault="00DD3894" w:rsidP="00DD3894">
      <w:pPr>
        <w:numPr>
          <w:ilvl w:val="1"/>
          <w:numId w:val="7"/>
        </w:numPr>
        <w:suppressAutoHyphens/>
        <w:spacing w:after="0" w:line="240" w:lineRule="auto"/>
        <w:ind w:left="709"/>
        <w:jc w:val="both"/>
        <w:rPr>
          <w:rFonts w:ascii="Times New Roman" w:hAnsi="Times New Roman"/>
          <w:sz w:val="24"/>
          <w:szCs w:val="24"/>
        </w:rPr>
      </w:pPr>
      <w:r>
        <w:rPr>
          <w:rFonts w:ascii="Times New Roman" w:hAnsi="Times New Roman"/>
          <w:sz w:val="24"/>
          <w:szCs w:val="24"/>
        </w:rPr>
        <w:t>p</w:t>
      </w:r>
      <w:r w:rsidRPr="00DD3894">
        <w:rPr>
          <w:rFonts w:ascii="Times New Roman" w:hAnsi="Times New Roman"/>
          <w:sz w:val="24"/>
          <w:szCs w:val="24"/>
        </w:rPr>
        <w:t>retendentam ir būvuzraudzības pieredze Latvijas klimatam līdzīgos apstākļos un zināšanas par atbilstošām būvdarbu metodēm.</w:t>
      </w:r>
    </w:p>
    <w:p w:rsidR="00DD3894" w:rsidRPr="00DD3894" w:rsidRDefault="00DD3894" w:rsidP="00DD3894">
      <w:pPr>
        <w:numPr>
          <w:ilvl w:val="1"/>
          <w:numId w:val="7"/>
        </w:numPr>
        <w:suppressAutoHyphens/>
        <w:spacing w:after="0" w:line="240" w:lineRule="auto"/>
        <w:ind w:left="709"/>
        <w:jc w:val="both"/>
        <w:rPr>
          <w:rFonts w:ascii="Times New Roman" w:hAnsi="Times New Roman"/>
          <w:b/>
          <w:sz w:val="24"/>
          <w:szCs w:val="24"/>
        </w:rPr>
      </w:pPr>
      <w:r>
        <w:rPr>
          <w:rFonts w:ascii="Times New Roman" w:hAnsi="Times New Roman"/>
          <w:sz w:val="24"/>
          <w:szCs w:val="24"/>
        </w:rPr>
        <w:t>p</w:t>
      </w:r>
      <w:r w:rsidRPr="00DD3894">
        <w:rPr>
          <w:rFonts w:ascii="Times New Roman" w:hAnsi="Times New Roman"/>
          <w:sz w:val="24"/>
          <w:szCs w:val="24"/>
        </w:rPr>
        <w:t>retendenta l</w:t>
      </w:r>
      <w:r w:rsidRPr="00DD3894">
        <w:rPr>
          <w:rFonts w:ascii="Times New Roman" w:hAnsi="Times New Roman"/>
          <w:bCs/>
          <w:sz w:val="24"/>
          <w:szCs w:val="24"/>
        </w:rPr>
        <w:t xml:space="preserve">ikviditātes kopējam </w:t>
      </w:r>
      <w:r w:rsidRPr="00DD3894">
        <w:rPr>
          <w:rFonts w:ascii="Times New Roman" w:hAnsi="Times New Roman"/>
          <w:sz w:val="24"/>
          <w:szCs w:val="24"/>
        </w:rPr>
        <w:t xml:space="preserve">koeficientam (apgrozāmie līdzekļi /īstermiņa saistības) uz 2013.gada 31.decembri jābūt ne mazākam par 1,00 (viens komats nulle </w:t>
      </w:r>
      <w:proofErr w:type="spellStart"/>
      <w:r w:rsidRPr="00DD3894">
        <w:rPr>
          <w:rFonts w:ascii="Times New Roman" w:hAnsi="Times New Roman"/>
          <w:sz w:val="24"/>
          <w:szCs w:val="24"/>
        </w:rPr>
        <w:t>nulle</w:t>
      </w:r>
      <w:proofErr w:type="spellEnd"/>
      <w:r w:rsidRPr="00DD3894">
        <w:rPr>
          <w:rFonts w:ascii="Times New Roman" w:hAnsi="Times New Roman"/>
          <w:sz w:val="24"/>
          <w:szCs w:val="24"/>
        </w:rPr>
        <w:t>).</w:t>
      </w:r>
    </w:p>
    <w:p w:rsidR="00DD3894" w:rsidRPr="00DD3894" w:rsidRDefault="00DD3894" w:rsidP="00DD3894">
      <w:pPr>
        <w:numPr>
          <w:ilvl w:val="1"/>
          <w:numId w:val="7"/>
        </w:numPr>
        <w:suppressAutoHyphens/>
        <w:spacing w:after="0" w:line="240" w:lineRule="auto"/>
        <w:ind w:left="709"/>
        <w:jc w:val="both"/>
        <w:rPr>
          <w:rFonts w:ascii="Times New Roman" w:hAnsi="Times New Roman"/>
          <w:b/>
          <w:sz w:val="24"/>
          <w:szCs w:val="24"/>
        </w:rPr>
      </w:pPr>
      <w:r>
        <w:rPr>
          <w:rFonts w:ascii="Times New Roman" w:hAnsi="Times New Roman"/>
          <w:sz w:val="24"/>
          <w:szCs w:val="24"/>
        </w:rPr>
        <w:t>p</w:t>
      </w:r>
      <w:r w:rsidRPr="00DD3894">
        <w:rPr>
          <w:rFonts w:ascii="Times New Roman" w:hAnsi="Times New Roman"/>
          <w:sz w:val="24"/>
          <w:szCs w:val="24"/>
        </w:rPr>
        <w:t>retendenta vidējais neto apgrozījums iepriekšējos 3 (trīs) gados būvuzraudzības pakalpojumu veikšanā vismaz 3 (trīs) reizes pārsniedz piedāvāto līgumcenu (uzņēmumi, kas dibināti vēlāk, norāda par nostrādāto periodu). Ja piedāvājumu iesniedz personālsabiedrība vai personu apvienība, pretendenta gada finanšu vidējais apgrozījums būvuzraudzības veikšanā iepriekšējo 3 (trīs) gadu laikā tiek aprēķināts kā vidējais no visu personu apvienības dalībnieku kopējā katra gada apgrozījumiem iepriekšējo 3 (trīs) gadu laikā.</w:t>
      </w:r>
    </w:p>
    <w:p w:rsidR="00DD3894" w:rsidRPr="001D3D0E" w:rsidRDefault="00DD3894" w:rsidP="00DD3894">
      <w:pPr>
        <w:numPr>
          <w:ilvl w:val="1"/>
          <w:numId w:val="7"/>
        </w:numPr>
        <w:suppressAutoHyphens/>
        <w:spacing w:after="0" w:line="240" w:lineRule="auto"/>
        <w:ind w:left="709"/>
        <w:jc w:val="both"/>
      </w:pPr>
      <w:r>
        <w:rPr>
          <w:rFonts w:ascii="Times New Roman" w:hAnsi="Times New Roman"/>
          <w:sz w:val="24"/>
          <w:szCs w:val="24"/>
        </w:rPr>
        <w:t>p</w:t>
      </w:r>
      <w:r w:rsidRPr="00DD3894">
        <w:rPr>
          <w:rFonts w:ascii="Times New Roman" w:hAnsi="Times New Roman"/>
          <w:sz w:val="24"/>
          <w:szCs w:val="24"/>
        </w:rPr>
        <w:t xml:space="preserve">retendents ir gatavs iesniegt civiltiesiskās atbildības apdrošināšanu par visu Būvuzraudzības periodu 2 miljonu </w:t>
      </w:r>
      <w:r w:rsidRPr="00DD3894">
        <w:rPr>
          <w:rFonts w:ascii="Times New Roman" w:hAnsi="Times New Roman"/>
          <w:i/>
          <w:iCs/>
          <w:sz w:val="24"/>
          <w:szCs w:val="24"/>
          <w:shd w:val="clear" w:color="auto" w:fill="FFFFFF"/>
        </w:rPr>
        <w:t>EURO</w:t>
      </w:r>
      <w:r w:rsidRPr="00DD3894">
        <w:rPr>
          <w:rFonts w:ascii="Times New Roman" w:hAnsi="Times New Roman"/>
          <w:sz w:val="24"/>
          <w:szCs w:val="24"/>
        </w:rPr>
        <w:t xml:space="preserve"> apmērā atbilstoši spēkā esošo tiesību aktu prasībām.</w:t>
      </w:r>
    </w:p>
    <w:p w:rsidR="00DD3894" w:rsidRDefault="00DD3894" w:rsidP="00DD3894">
      <w:pPr>
        <w:suppressAutoHyphens/>
        <w:spacing w:after="0" w:line="240" w:lineRule="auto"/>
        <w:jc w:val="both"/>
        <w:rPr>
          <w:b/>
        </w:rPr>
      </w:pPr>
    </w:p>
    <w:p w:rsidR="00DD3894" w:rsidRDefault="00DD3894" w:rsidP="00DD3894">
      <w:pPr>
        <w:suppressAutoHyphens/>
        <w:spacing w:after="0" w:line="240" w:lineRule="auto"/>
        <w:jc w:val="both"/>
        <w:rPr>
          <w:rFonts w:ascii="Times New Roman" w:hAnsi="Times New Roman"/>
          <w:b/>
          <w:sz w:val="24"/>
          <w:szCs w:val="24"/>
        </w:rPr>
      </w:pPr>
      <w:r w:rsidRPr="00DD3894">
        <w:rPr>
          <w:rFonts w:ascii="Times New Roman" w:hAnsi="Times New Roman"/>
          <w:b/>
          <w:sz w:val="24"/>
          <w:szCs w:val="24"/>
          <w:u w:val="single"/>
        </w:rPr>
        <w:t>Prasības attiecībā uz pretendenta tehniskajām un profesionālajām spējām</w:t>
      </w:r>
      <w:r>
        <w:rPr>
          <w:rFonts w:ascii="Times New Roman" w:hAnsi="Times New Roman"/>
          <w:b/>
          <w:sz w:val="24"/>
          <w:szCs w:val="24"/>
        </w:rPr>
        <w:t>:</w:t>
      </w:r>
    </w:p>
    <w:p w:rsidR="00DD3894" w:rsidRPr="00DD3894" w:rsidRDefault="00DD3894" w:rsidP="00DD3894">
      <w:pPr>
        <w:numPr>
          <w:ilvl w:val="1"/>
          <w:numId w:val="8"/>
        </w:numPr>
        <w:suppressAutoHyphens/>
        <w:spacing w:after="0" w:line="240" w:lineRule="auto"/>
        <w:ind w:hanging="436"/>
        <w:jc w:val="both"/>
        <w:rPr>
          <w:rFonts w:ascii="Times New Roman" w:hAnsi="Times New Roman"/>
          <w:b/>
          <w:sz w:val="24"/>
          <w:szCs w:val="24"/>
        </w:rPr>
      </w:pPr>
      <w:r w:rsidRPr="00DD3894">
        <w:rPr>
          <w:rFonts w:ascii="Times New Roman" w:hAnsi="Times New Roman"/>
          <w:sz w:val="24"/>
          <w:szCs w:val="24"/>
        </w:rPr>
        <w:t>Pretendenta piedāvātajam atbildīgajam būvuzraugam ir spēkā esošs sertifikāts ēku būvdarbu būvuzraudzībā un tas iepriekšējo 5 gadu periodā kā atbildīgais būvuzraugs (būvvaldē reģistrēts saistību raksts) vismaz 90% no visa kopējā būvniecības laika</w:t>
      </w:r>
      <w:r w:rsidRPr="00DD3894">
        <w:rPr>
          <w:rFonts w:ascii="Times New Roman" w:hAnsi="Times New Roman"/>
          <w:b/>
          <w:sz w:val="24"/>
          <w:szCs w:val="24"/>
        </w:rPr>
        <w:t xml:space="preserve"> </w:t>
      </w:r>
      <w:r w:rsidRPr="00DD3894">
        <w:rPr>
          <w:rFonts w:ascii="Times New Roman" w:hAnsi="Times New Roman"/>
          <w:sz w:val="24"/>
          <w:szCs w:val="24"/>
        </w:rPr>
        <w:t>ir veicis vismaz vienas publiskas ēkas jaunbūves būvdarbu uzraudzību,</w:t>
      </w:r>
      <w:r w:rsidRPr="00DD3894">
        <w:rPr>
          <w:rFonts w:ascii="Times New Roman" w:hAnsi="Times New Roman"/>
          <w:color w:val="000000"/>
          <w:sz w:val="24"/>
          <w:szCs w:val="24"/>
          <w:shd w:val="clear" w:color="auto" w:fill="FFFFFF"/>
        </w:rPr>
        <w:t xml:space="preserve"> kur būvdarbu izpildes vērtība bez PVN ir vismaz 15 miljoni latu</w:t>
      </w:r>
      <w:r w:rsidRPr="00DD3894">
        <w:rPr>
          <w:rFonts w:ascii="Times New Roman" w:hAnsi="Times New Roman"/>
          <w:sz w:val="24"/>
          <w:szCs w:val="24"/>
        </w:rPr>
        <w:t>, tāpat minētās publiskās ēkas kopējam būvapjomam jābūt ne mazākam par 17 000 m</w:t>
      </w:r>
      <w:r w:rsidRPr="00DD3894">
        <w:rPr>
          <w:rFonts w:ascii="Times New Roman" w:hAnsi="Times New Roman"/>
          <w:sz w:val="24"/>
          <w:szCs w:val="24"/>
          <w:vertAlign w:val="superscript"/>
        </w:rPr>
        <w:t>2</w:t>
      </w:r>
      <w:r w:rsidRPr="00DD3894">
        <w:rPr>
          <w:rFonts w:ascii="Times New Roman" w:hAnsi="Times New Roman"/>
          <w:sz w:val="24"/>
          <w:szCs w:val="24"/>
        </w:rPr>
        <w:t>. Ar publisku ēku šī nolikuma punkta izpratnē tiks uzskatīta ēka, kas atbilst Ministru kabineta 2009.gada 22.decembra noteikumu Nr. 1620 klasifikācijas kodos 121, 122, 123 (ēkai ir</w:t>
      </w:r>
      <w:r w:rsidRPr="00DD3894">
        <w:rPr>
          <w:rFonts w:ascii="Times New Roman" w:hAnsi="Times New Roman"/>
          <w:sz w:val="24"/>
          <w:szCs w:val="24"/>
          <w:shd w:val="clear" w:color="auto" w:fill="FFFFFF"/>
        </w:rPr>
        <w:t xml:space="preserve"> vismaz seši virszemes stāvi</w:t>
      </w:r>
      <w:proofErr w:type="gramStart"/>
      <w:r w:rsidRPr="00DD3894">
        <w:rPr>
          <w:rFonts w:ascii="Times New Roman" w:hAnsi="Times New Roman"/>
          <w:sz w:val="24"/>
          <w:szCs w:val="24"/>
        </w:rPr>
        <w:t xml:space="preserve"> un</w:t>
      </w:r>
      <w:proofErr w:type="gramEnd"/>
      <w:r w:rsidRPr="00DD3894">
        <w:rPr>
          <w:rFonts w:ascii="Times New Roman" w:hAnsi="Times New Roman"/>
          <w:sz w:val="24"/>
          <w:szCs w:val="24"/>
        </w:rPr>
        <w:t xml:space="preserve"> vismaz viens pazemes stāvs) un 126 noteiktās ēkas. </w:t>
      </w:r>
    </w:p>
    <w:p w:rsidR="00DD3894" w:rsidRPr="00DD3894" w:rsidRDefault="00DD3894" w:rsidP="00DD3894">
      <w:pPr>
        <w:numPr>
          <w:ilvl w:val="1"/>
          <w:numId w:val="8"/>
        </w:numPr>
        <w:suppressAutoHyphens/>
        <w:spacing w:after="0" w:line="240" w:lineRule="auto"/>
        <w:ind w:left="709" w:hanging="436"/>
        <w:jc w:val="both"/>
        <w:rPr>
          <w:rFonts w:ascii="Times New Roman" w:hAnsi="Times New Roman"/>
          <w:sz w:val="24"/>
          <w:szCs w:val="24"/>
        </w:rPr>
      </w:pPr>
      <w:r w:rsidRPr="00DD3894">
        <w:rPr>
          <w:rFonts w:ascii="Times New Roman" w:hAnsi="Times New Roman"/>
          <w:sz w:val="24"/>
          <w:szCs w:val="24"/>
        </w:rPr>
        <w:t>Pretendenta rīcībā jābūt sertificētiem būvuzraugiem ar spēkā esošiem sertifikātiem tālāk minētajās reglamentētajās jomās:</w:t>
      </w:r>
    </w:p>
    <w:p w:rsidR="00DD3894" w:rsidRPr="00DD3894" w:rsidRDefault="00DD3894" w:rsidP="00DD3894">
      <w:pPr>
        <w:numPr>
          <w:ilvl w:val="2"/>
          <w:numId w:val="8"/>
        </w:numPr>
        <w:suppressAutoHyphens/>
        <w:spacing w:after="0" w:line="240" w:lineRule="auto"/>
        <w:ind w:left="1134" w:hanging="436"/>
        <w:jc w:val="both"/>
        <w:rPr>
          <w:rFonts w:ascii="Times New Roman" w:hAnsi="Times New Roman"/>
          <w:sz w:val="24"/>
          <w:szCs w:val="24"/>
        </w:rPr>
      </w:pPr>
      <w:r w:rsidRPr="00DD3894">
        <w:rPr>
          <w:rFonts w:ascii="Times New Roman" w:hAnsi="Times New Roman"/>
          <w:sz w:val="24"/>
          <w:szCs w:val="24"/>
        </w:rPr>
        <w:t>Ēku būvdarbu būvuzraudzībā;</w:t>
      </w:r>
    </w:p>
    <w:p w:rsidR="00DD3894" w:rsidRPr="00DD3894" w:rsidRDefault="00DD3894" w:rsidP="00DD3894">
      <w:pPr>
        <w:numPr>
          <w:ilvl w:val="2"/>
          <w:numId w:val="8"/>
        </w:numPr>
        <w:suppressAutoHyphens/>
        <w:spacing w:after="0" w:line="240" w:lineRule="auto"/>
        <w:ind w:left="1134" w:hanging="436"/>
        <w:jc w:val="both"/>
        <w:rPr>
          <w:rFonts w:ascii="Times New Roman" w:hAnsi="Times New Roman"/>
          <w:sz w:val="24"/>
          <w:szCs w:val="24"/>
        </w:rPr>
      </w:pPr>
      <w:r w:rsidRPr="00DD3894">
        <w:rPr>
          <w:rFonts w:ascii="Times New Roman" w:hAnsi="Times New Roman"/>
          <w:sz w:val="24"/>
          <w:szCs w:val="24"/>
        </w:rPr>
        <w:t>Siltumapgādes un ventilācijas sistēmu būvdarbu būvuzraudzībā;</w:t>
      </w:r>
    </w:p>
    <w:p w:rsidR="00DD3894" w:rsidRPr="00DD3894" w:rsidRDefault="00DD3894" w:rsidP="00DD3894">
      <w:pPr>
        <w:numPr>
          <w:ilvl w:val="2"/>
          <w:numId w:val="8"/>
        </w:numPr>
        <w:suppressAutoHyphens/>
        <w:spacing w:after="0" w:line="240" w:lineRule="auto"/>
        <w:ind w:left="1134" w:hanging="436"/>
        <w:jc w:val="both"/>
        <w:rPr>
          <w:rFonts w:ascii="Times New Roman" w:hAnsi="Times New Roman"/>
          <w:sz w:val="24"/>
          <w:szCs w:val="24"/>
        </w:rPr>
      </w:pPr>
      <w:r w:rsidRPr="00DD3894">
        <w:rPr>
          <w:rFonts w:ascii="Times New Roman" w:hAnsi="Times New Roman"/>
          <w:sz w:val="24"/>
          <w:szCs w:val="24"/>
        </w:rPr>
        <w:t>Elektroietaišu izbūves darbu būvuzraudzībā;</w:t>
      </w:r>
    </w:p>
    <w:p w:rsidR="00DD3894" w:rsidRPr="00DD3894" w:rsidRDefault="00DD3894" w:rsidP="00DD3894">
      <w:pPr>
        <w:numPr>
          <w:ilvl w:val="2"/>
          <w:numId w:val="8"/>
        </w:numPr>
        <w:suppressAutoHyphens/>
        <w:spacing w:after="0" w:line="240" w:lineRule="auto"/>
        <w:ind w:left="1134" w:hanging="436"/>
        <w:jc w:val="both"/>
        <w:rPr>
          <w:rFonts w:ascii="Times New Roman" w:hAnsi="Times New Roman"/>
          <w:sz w:val="24"/>
          <w:szCs w:val="24"/>
        </w:rPr>
      </w:pPr>
      <w:r w:rsidRPr="00DD3894">
        <w:rPr>
          <w:rFonts w:ascii="Times New Roman" w:hAnsi="Times New Roman"/>
          <w:sz w:val="24"/>
          <w:szCs w:val="24"/>
        </w:rPr>
        <w:t>Ūdensapgādes un kanalizācijas sistēmu būvdarbu būvuzraudzībā;</w:t>
      </w:r>
    </w:p>
    <w:p w:rsidR="00DD3894" w:rsidRPr="00DD3894" w:rsidRDefault="00DD3894" w:rsidP="00DD3894">
      <w:pPr>
        <w:numPr>
          <w:ilvl w:val="2"/>
          <w:numId w:val="8"/>
        </w:numPr>
        <w:suppressAutoHyphens/>
        <w:spacing w:after="0" w:line="240" w:lineRule="auto"/>
        <w:ind w:left="1134" w:hanging="436"/>
        <w:jc w:val="both"/>
        <w:rPr>
          <w:rFonts w:ascii="Times New Roman" w:hAnsi="Times New Roman"/>
          <w:sz w:val="24"/>
          <w:szCs w:val="24"/>
        </w:rPr>
      </w:pPr>
      <w:r w:rsidRPr="00DD3894">
        <w:rPr>
          <w:rFonts w:ascii="Times New Roman" w:hAnsi="Times New Roman"/>
          <w:sz w:val="24"/>
          <w:szCs w:val="24"/>
        </w:rPr>
        <w:t>Telekomunikāciju sistēmu un tīklu būvdarbu būvuzraudzībā;</w:t>
      </w:r>
    </w:p>
    <w:p w:rsidR="00DD3894" w:rsidRPr="00DD3894" w:rsidRDefault="00DD3894" w:rsidP="00DD3894">
      <w:pPr>
        <w:numPr>
          <w:ilvl w:val="2"/>
          <w:numId w:val="8"/>
        </w:numPr>
        <w:suppressAutoHyphens/>
        <w:spacing w:after="0" w:line="240" w:lineRule="auto"/>
        <w:ind w:left="1134" w:hanging="436"/>
        <w:jc w:val="both"/>
        <w:rPr>
          <w:rFonts w:ascii="Times New Roman" w:hAnsi="Times New Roman"/>
          <w:sz w:val="24"/>
          <w:szCs w:val="24"/>
        </w:rPr>
      </w:pPr>
      <w:r w:rsidRPr="00DD3894">
        <w:rPr>
          <w:rFonts w:ascii="Times New Roman" w:hAnsi="Times New Roman"/>
          <w:sz w:val="24"/>
          <w:szCs w:val="24"/>
        </w:rPr>
        <w:t>Ceļu būvdarbu būvuzraudzībā.</w:t>
      </w:r>
    </w:p>
    <w:p w:rsidR="00DD3894" w:rsidRPr="00DD3894" w:rsidRDefault="00DD3894" w:rsidP="00DD3894">
      <w:pPr>
        <w:numPr>
          <w:ilvl w:val="1"/>
          <w:numId w:val="8"/>
        </w:numPr>
        <w:suppressAutoHyphens/>
        <w:spacing w:after="0" w:line="240" w:lineRule="auto"/>
        <w:ind w:hanging="436"/>
        <w:jc w:val="both"/>
        <w:rPr>
          <w:rFonts w:ascii="Times New Roman" w:hAnsi="Times New Roman"/>
          <w:sz w:val="24"/>
          <w:szCs w:val="24"/>
        </w:rPr>
      </w:pPr>
      <w:r w:rsidRPr="00DD3894">
        <w:rPr>
          <w:rFonts w:ascii="Times New Roman" w:hAnsi="Times New Roman"/>
          <w:sz w:val="24"/>
          <w:szCs w:val="24"/>
        </w:rPr>
        <w:t>Pretendenta rīcībā jābūt tāmētājam, kurš iepriekšējo 5 gadu periodā kā atbildīgais tāmētājs vismaz 90% no visa kopējā būvniecības laika ir veicis tāmju sagatavošanu objektā, kur</w:t>
      </w:r>
      <w:r w:rsidRPr="00DD3894">
        <w:rPr>
          <w:rFonts w:ascii="Times New Roman" w:hAnsi="Times New Roman"/>
          <w:sz w:val="24"/>
          <w:szCs w:val="24"/>
          <w:shd w:val="clear" w:color="auto" w:fill="FFFFFF"/>
        </w:rPr>
        <w:t xml:space="preserve"> kopējā būvdarbu izpildes vērtība bez PVN ir vismaz 15 miljoni latu. </w:t>
      </w:r>
    </w:p>
    <w:p w:rsidR="00DD3894" w:rsidRPr="00DD3894" w:rsidRDefault="00DD3894" w:rsidP="00DD3894">
      <w:pPr>
        <w:numPr>
          <w:ilvl w:val="1"/>
          <w:numId w:val="8"/>
        </w:numPr>
        <w:suppressAutoHyphens/>
        <w:spacing w:after="0" w:line="240" w:lineRule="auto"/>
        <w:ind w:hanging="436"/>
        <w:jc w:val="both"/>
        <w:rPr>
          <w:rFonts w:ascii="Times New Roman" w:hAnsi="Times New Roman"/>
          <w:sz w:val="24"/>
          <w:szCs w:val="24"/>
        </w:rPr>
      </w:pPr>
      <w:r w:rsidRPr="00DD3894">
        <w:rPr>
          <w:rFonts w:ascii="Times New Roman" w:hAnsi="Times New Roman"/>
          <w:sz w:val="24"/>
          <w:szCs w:val="24"/>
        </w:rPr>
        <w:t>Pretendenta rīcībā ir visi nepieciešamie resursi savlaicīgai un kvalitatīvai līguma izpildei atbilstoši tehniskajai specifikācijai, tai skaitā, bet ne tikai spēja nodrošināt biroja telpas un visu nepieciešamo biroja aprīkojumu saviem darbiniekiem un piesaistītajiem speciālistiem būvobjektā.</w:t>
      </w:r>
    </w:p>
    <w:p w:rsidR="00DD3894" w:rsidRPr="00DD3894" w:rsidRDefault="00DD3894" w:rsidP="00DD3894">
      <w:pPr>
        <w:numPr>
          <w:ilvl w:val="1"/>
          <w:numId w:val="8"/>
        </w:numPr>
        <w:suppressAutoHyphens/>
        <w:spacing w:after="0" w:line="240" w:lineRule="auto"/>
        <w:ind w:hanging="436"/>
        <w:jc w:val="both"/>
        <w:rPr>
          <w:rFonts w:ascii="Times New Roman" w:hAnsi="Times New Roman"/>
          <w:sz w:val="24"/>
          <w:szCs w:val="24"/>
        </w:rPr>
      </w:pPr>
      <w:r w:rsidRPr="00DD3894">
        <w:rPr>
          <w:rFonts w:ascii="Times New Roman" w:hAnsi="Times New Roman"/>
          <w:bCs/>
          <w:sz w:val="24"/>
          <w:szCs w:val="24"/>
          <w:shd w:val="clear" w:color="auto" w:fill="FFFFFF"/>
        </w:rPr>
        <w:t>Katram Nolikuma 15.2.1.-15.2.5.punktā minētajam</w:t>
      </w:r>
      <w:r w:rsidRPr="00DD3894">
        <w:rPr>
          <w:rFonts w:ascii="Times New Roman" w:hAnsi="Times New Roman"/>
          <w:b/>
          <w:bCs/>
          <w:color w:val="00B050"/>
          <w:sz w:val="24"/>
          <w:szCs w:val="24"/>
          <w:shd w:val="clear" w:color="auto" w:fill="FFFFFF"/>
        </w:rPr>
        <w:t xml:space="preserve"> </w:t>
      </w:r>
      <w:r w:rsidRPr="00DD3894">
        <w:rPr>
          <w:rFonts w:ascii="Times New Roman" w:hAnsi="Times New Roman"/>
          <w:sz w:val="24"/>
          <w:szCs w:val="24"/>
          <w:shd w:val="clear" w:color="auto" w:fill="FFFFFF"/>
        </w:rPr>
        <w:t>Pretendenta attiecīgās nozares sertificētajam būvuzraugam ir spēkā esošs sertifikāts attiecīgajā jomā un tas iepriekšējo 5 gadu periodā  ir veicis</w:t>
      </w:r>
      <w:r w:rsidRPr="00DD3894">
        <w:rPr>
          <w:rStyle w:val="apple-converted-space"/>
          <w:rFonts w:ascii="Times New Roman" w:hAnsi="Times New Roman"/>
          <w:sz w:val="24"/>
          <w:szCs w:val="24"/>
          <w:shd w:val="clear" w:color="auto" w:fill="FFFFFF"/>
        </w:rPr>
        <w:t> </w:t>
      </w:r>
      <w:r w:rsidRPr="00DD3894">
        <w:rPr>
          <w:rFonts w:ascii="Times New Roman" w:hAnsi="Times New Roman"/>
          <w:sz w:val="24"/>
          <w:szCs w:val="24"/>
          <w:shd w:val="clear" w:color="auto" w:fill="FFFFFF"/>
        </w:rPr>
        <w:t>vismaz vienas publiskas</w:t>
      </w:r>
      <w:r w:rsidRPr="00DD3894">
        <w:rPr>
          <w:rStyle w:val="apple-converted-space"/>
          <w:rFonts w:ascii="Times New Roman" w:hAnsi="Times New Roman"/>
          <w:sz w:val="24"/>
          <w:szCs w:val="24"/>
          <w:shd w:val="clear" w:color="auto" w:fill="FFFFFF"/>
        </w:rPr>
        <w:t> </w:t>
      </w:r>
      <w:r w:rsidRPr="00DD3894">
        <w:rPr>
          <w:rFonts w:ascii="Times New Roman" w:hAnsi="Times New Roman"/>
          <w:sz w:val="24"/>
          <w:szCs w:val="24"/>
          <w:shd w:val="clear" w:color="auto" w:fill="FFFFFF"/>
        </w:rPr>
        <w:t>ēkas</w:t>
      </w:r>
      <w:r w:rsidRPr="00DD3894">
        <w:rPr>
          <w:rStyle w:val="apple-converted-space"/>
          <w:rFonts w:ascii="Times New Roman" w:hAnsi="Times New Roman"/>
          <w:sz w:val="24"/>
          <w:szCs w:val="24"/>
          <w:shd w:val="clear" w:color="auto" w:fill="FFFFFF"/>
        </w:rPr>
        <w:t> </w:t>
      </w:r>
      <w:r w:rsidRPr="00DD3894">
        <w:rPr>
          <w:rFonts w:ascii="Times New Roman" w:hAnsi="Times New Roman"/>
          <w:sz w:val="24"/>
          <w:szCs w:val="24"/>
          <w:shd w:val="clear" w:color="auto" w:fill="FFFFFF"/>
        </w:rPr>
        <w:t>jaunbūves attiecīgās nozares būvdarbu uzraudzību, kur būvdarbu izpildes kopējā vērtība bez PVN ir vismaz 15 miljoni latu, tāpat minētās</w:t>
      </w:r>
      <w:r w:rsidRPr="00DD3894">
        <w:rPr>
          <w:rStyle w:val="apple-converted-space"/>
          <w:rFonts w:ascii="Times New Roman" w:hAnsi="Times New Roman"/>
          <w:sz w:val="24"/>
          <w:szCs w:val="24"/>
          <w:shd w:val="clear" w:color="auto" w:fill="FFFFFF"/>
        </w:rPr>
        <w:t> </w:t>
      </w:r>
      <w:r w:rsidRPr="00DD3894">
        <w:rPr>
          <w:rFonts w:ascii="Times New Roman" w:hAnsi="Times New Roman"/>
          <w:sz w:val="24"/>
          <w:szCs w:val="24"/>
          <w:shd w:val="clear" w:color="auto" w:fill="FFFFFF"/>
        </w:rPr>
        <w:t>publiskās</w:t>
      </w:r>
      <w:r w:rsidRPr="00DD3894">
        <w:rPr>
          <w:rStyle w:val="apple-converted-space"/>
          <w:rFonts w:ascii="Times New Roman" w:hAnsi="Times New Roman"/>
          <w:sz w:val="24"/>
          <w:szCs w:val="24"/>
          <w:shd w:val="clear" w:color="auto" w:fill="FFFFFF"/>
        </w:rPr>
        <w:t> </w:t>
      </w:r>
      <w:r w:rsidRPr="00DD3894">
        <w:rPr>
          <w:rFonts w:ascii="Times New Roman" w:hAnsi="Times New Roman"/>
          <w:sz w:val="24"/>
          <w:szCs w:val="24"/>
          <w:shd w:val="clear" w:color="auto" w:fill="FFFFFF"/>
        </w:rPr>
        <w:t>ēkas</w:t>
      </w:r>
      <w:r w:rsidRPr="00DD3894">
        <w:rPr>
          <w:rStyle w:val="apple-converted-space"/>
          <w:rFonts w:ascii="Times New Roman" w:hAnsi="Times New Roman"/>
          <w:sz w:val="24"/>
          <w:szCs w:val="24"/>
          <w:shd w:val="clear" w:color="auto" w:fill="FFFFFF"/>
        </w:rPr>
        <w:t> </w:t>
      </w:r>
      <w:r w:rsidRPr="00DD3894">
        <w:rPr>
          <w:rFonts w:ascii="Times New Roman" w:hAnsi="Times New Roman"/>
          <w:sz w:val="24"/>
          <w:szCs w:val="24"/>
          <w:shd w:val="clear" w:color="auto" w:fill="FFFFFF"/>
        </w:rPr>
        <w:t>kopējam</w:t>
      </w:r>
      <w:r w:rsidRPr="00DD3894">
        <w:rPr>
          <w:rStyle w:val="apple-converted-space"/>
          <w:rFonts w:ascii="Times New Roman" w:hAnsi="Times New Roman"/>
          <w:sz w:val="24"/>
          <w:szCs w:val="24"/>
          <w:shd w:val="clear" w:color="auto" w:fill="FFFFFF"/>
        </w:rPr>
        <w:t> </w:t>
      </w:r>
      <w:r w:rsidRPr="00DD3894">
        <w:rPr>
          <w:rFonts w:ascii="Times New Roman" w:hAnsi="Times New Roman"/>
          <w:sz w:val="24"/>
          <w:szCs w:val="24"/>
          <w:shd w:val="clear" w:color="auto" w:fill="FFFFFF"/>
        </w:rPr>
        <w:t>būvapjomam</w:t>
      </w:r>
      <w:r w:rsidRPr="00DD3894">
        <w:rPr>
          <w:rStyle w:val="apple-converted-space"/>
          <w:rFonts w:ascii="Times New Roman" w:hAnsi="Times New Roman"/>
          <w:sz w:val="24"/>
          <w:szCs w:val="24"/>
          <w:shd w:val="clear" w:color="auto" w:fill="FFFFFF"/>
        </w:rPr>
        <w:t> </w:t>
      </w:r>
      <w:r w:rsidRPr="00DD3894">
        <w:rPr>
          <w:rFonts w:ascii="Times New Roman" w:hAnsi="Times New Roman"/>
          <w:sz w:val="24"/>
          <w:szCs w:val="24"/>
          <w:shd w:val="clear" w:color="auto" w:fill="FFFFFF"/>
        </w:rPr>
        <w:t>ir jābūt ne mazākam par 17 000 m</w:t>
      </w:r>
      <w:r w:rsidRPr="00DD3894">
        <w:rPr>
          <w:rFonts w:ascii="Times New Roman" w:hAnsi="Times New Roman"/>
          <w:sz w:val="24"/>
          <w:szCs w:val="24"/>
          <w:shd w:val="clear" w:color="auto" w:fill="FFFFFF"/>
          <w:vertAlign w:val="superscript"/>
        </w:rPr>
        <w:t>2</w:t>
      </w:r>
      <w:r w:rsidRPr="00DD3894">
        <w:rPr>
          <w:rFonts w:ascii="Times New Roman" w:hAnsi="Times New Roman"/>
          <w:sz w:val="24"/>
          <w:szCs w:val="24"/>
        </w:rPr>
        <w:t>. Ar publisku ēku šī nolikuma punkta izpratnē tiks uzskatīta ēka, kas atbilst Ministru kabineta 2009.gada 22. decembra noteikumu Nr. 1620 klasifikācijas kodos 121, 122, 123 (ēkai ir</w:t>
      </w:r>
      <w:r w:rsidRPr="00DD3894">
        <w:rPr>
          <w:rFonts w:ascii="Times New Roman" w:hAnsi="Times New Roman"/>
          <w:sz w:val="24"/>
          <w:szCs w:val="24"/>
          <w:shd w:val="clear" w:color="auto" w:fill="FFFFFF"/>
        </w:rPr>
        <w:t xml:space="preserve"> vismaz seši virszemes stāvi</w:t>
      </w:r>
      <w:proofErr w:type="gramStart"/>
      <w:r w:rsidRPr="00DD3894">
        <w:rPr>
          <w:rFonts w:ascii="Times New Roman" w:hAnsi="Times New Roman"/>
          <w:sz w:val="24"/>
          <w:szCs w:val="24"/>
        </w:rPr>
        <w:t xml:space="preserve"> un</w:t>
      </w:r>
      <w:proofErr w:type="gramEnd"/>
      <w:r w:rsidRPr="00DD3894">
        <w:rPr>
          <w:rFonts w:ascii="Times New Roman" w:hAnsi="Times New Roman"/>
          <w:sz w:val="24"/>
          <w:szCs w:val="24"/>
        </w:rPr>
        <w:t xml:space="preserve"> vismaz viens pazemes stāvs) un 126 noteiktās ēkas. </w:t>
      </w:r>
    </w:p>
    <w:p w:rsidR="00DD3894" w:rsidRPr="00DD3894" w:rsidRDefault="00DD3894" w:rsidP="00DD3894">
      <w:pPr>
        <w:numPr>
          <w:ilvl w:val="1"/>
          <w:numId w:val="8"/>
        </w:numPr>
        <w:suppressAutoHyphens/>
        <w:spacing w:after="0" w:line="240" w:lineRule="auto"/>
        <w:ind w:hanging="436"/>
        <w:jc w:val="both"/>
        <w:rPr>
          <w:rFonts w:ascii="Times New Roman" w:hAnsi="Times New Roman"/>
          <w:sz w:val="24"/>
          <w:szCs w:val="24"/>
        </w:rPr>
      </w:pPr>
      <w:r w:rsidRPr="00DD3894">
        <w:rPr>
          <w:rFonts w:ascii="Times New Roman" w:hAnsi="Times New Roman"/>
          <w:sz w:val="24"/>
          <w:szCs w:val="24"/>
        </w:rPr>
        <w:lastRenderedPageBreak/>
        <w:t xml:space="preserve">Pretendenta piedāvātajam </w:t>
      </w:r>
      <w:r w:rsidRPr="00DD3894">
        <w:rPr>
          <w:rStyle w:val="Emphasis"/>
          <w:rFonts w:ascii="Times New Roman" w:hAnsi="Times New Roman"/>
          <w:bCs/>
          <w:sz w:val="24"/>
          <w:szCs w:val="24"/>
          <w:shd w:val="clear" w:color="auto" w:fill="FFFFFF"/>
        </w:rPr>
        <w:t>ceļu būvdarbu būvuzraugam ir</w:t>
      </w:r>
      <w:r w:rsidRPr="00DD3894">
        <w:rPr>
          <w:rFonts w:ascii="Times New Roman" w:hAnsi="Times New Roman"/>
          <w:sz w:val="24"/>
          <w:szCs w:val="24"/>
        </w:rPr>
        <w:t xml:space="preserve"> spēkā esošs sertifikāts attiecīgajā jomā un tas iepriekšējo 5 gadu periodā ir veicis autostāvietu, laukuma vai ceļa ar cieto segumu izbūves uzraudzību. Minēto inženierbūvju kopējam būvapjomam jābūt ne mazākam par 5 000 m</w:t>
      </w:r>
      <w:r w:rsidRPr="00DD3894">
        <w:rPr>
          <w:rFonts w:ascii="Times New Roman" w:hAnsi="Times New Roman"/>
          <w:sz w:val="24"/>
          <w:szCs w:val="24"/>
          <w:vertAlign w:val="superscript"/>
        </w:rPr>
        <w:t>2</w:t>
      </w:r>
      <w:r>
        <w:rPr>
          <w:rFonts w:ascii="Times New Roman" w:hAnsi="Times New Roman"/>
          <w:sz w:val="24"/>
          <w:szCs w:val="24"/>
        </w:rPr>
        <w:t>.</w:t>
      </w:r>
    </w:p>
    <w:p w:rsidR="00DD3894" w:rsidRPr="00DD3894" w:rsidRDefault="00DD3894" w:rsidP="00DD3894">
      <w:pPr>
        <w:spacing w:after="100" w:line="26" w:lineRule="atLeast"/>
        <w:rPr>
          <w:rFonts w:ascii="Times New Roman" w:hAnsi="Times New Roman"/>
          <w:b/>
          <w:sz w:val="24"/>
          <w:szCs w:val="24"/>
          <w:u w:val="single"/>
        </w:rPr>
      </w:pPr>
    </w:p>
    <w:p w:rsidR="00DD3894" w:rsidRDefault="00DD3894" w:rsidP="007F44B8">
      <w:pPr>
        <w:spacing w:after="100" w:line="26" w:lineRule="atLeast"/>
        <w:rPr>
          <w:rFonts w:ascii="Times New Roman" w:hAnsi="Times New Roman"/>
          <w:sz w:val="24"/>
          <w:szCs w:val="24"/>
        </w:rPr>
      </w:pPr>
      <w:r w:rsidRPr="00DD3894">
        <w:rPr>
          <w:rFonts w:ascii="Times New Roman" w:hAnsi="Times New Roman"/>
          <w:b/>
          <w:sz w:val="24"/>
          <w:szCs w:val="24"/>
          <w:u w:val="single"/>
        </w:rPr>
        <w:t>Piedāvājuma izvēles kritērijs</w:t>
      </w:r>
      <w:r w:rsidRPr="00DD3894">
        <w:rPr>
          <w:rFonts w:ascii="Times New Roman" w:hAnsi="Times New Roman"/>
          <w:sz w:val="24"/>
          <w:szCs w:val="24"/>
        </w:rPr>
        <w:t>: Zemākā cena</w:t>
      </w:r>
      <w:r>
        <w:rPr>
          <w:rFonts w:ascii="Times New Roman" w:hAnsi="Times New Roman"/>
          <w:sz w:val="24"/>
          <w:szCs w:val="24"/>
        </w:rPr>
        <w:t>.</w:t>
      </w:r>
    </w:p>
    <w:p w:rsidR="00DD3894" w:rsidRDefault="00DD3894" w:rsidP="007F44B8">
      <w:pPr>
        <w:spacing w:after="100" w:line="26" w:lineRule="atLeast"/>
        <w:rPr>
          <w:rFonts w:ascii="Times New Roman" w:hAnsi="Times New Roman"/>
          <w:sz w:val="24"/>
          <w:szCs w:val="24"/>
        </w:rPr>
      </w:pPr>
      <w:r w:rsidRPr="00DD3894">
        <w:rPr>
          <w:rFonts w:ascii="Times New Roman" w:hAnsi="Times New Roman"/>
          <w:b/>
          <w:sz w:val="24"/>
          <w:szCs w:val="24"/>
          <w:u w:val="single"/>
        </w:rPr>
        <w:t>Piedāvājumu iesniegšanas termiņš</w:t>
      </w:r>
      <w:r w:rsidRPr="00DD3894">
        <w:rPr>
          <w:rFonts w:ascii="Times New Roman" w:hAnsi="Times New Roman"/>
          <w:b/>
          <w:sz w:val="24"/>
          <w:szCs w:val="24"/>
        </w:rPr>
        <w:t xml:space="preserve">: </w:t>
      </w:r>
      <w:r w:rsidR="00001D94">
        <w:rPr>
          <w:rFonts w:ascii="Times New Roman" w:hAnsi="Times New Roman"/>
          <w:sz w:val="24"/>
          <w:szCs w:val="24"/>
        </w:rPr>
        <w:t>2014.gada 6.maijs.</w:t>
      </w:r>
    </w:p>
    <w:p w:rsidR="00C1635F" w:rsidRPr="00C1635F" w:rsidRDefault="00C1635F" w:rsidP="00C1635F">
      <w:pPr>
        <w:spacing w:after="100" w:line="26" w:lineRule="atLeast"/>
        <w:jc w:val="both"/>
        <w:rPr>
          <w:rFonts w:ascii="Times New Roman" w:hAnsi="Times New Roman"/>
          <w:sz w:val="24"/>
          <w:szCs w:val="24"/>
        </w:rPr>
      </w:pPr>
      <w:r>
        <w:rPr>
          <w:rFonts w:ascii="Times New Roman" w:hAnsi="Times New Roman"/>
          <w:b/>
          <w:sz w:val="24"/>
          <w:szCs w:val="24"/>
          <w:u w:val="single"/>
        </w:rPr>
        <w:t>Piedāvājumu</w:t>
      </w:r>
      <w:r w:rsidRPr="006230A5">
        <w:rPr>
          <w:rFonts w:ascii="Times New Roman" w:hAnsi="Times New Roman"/>
          <w:b/>
          <w:sz w:val="24"/>
          <w:szCs w:val="24"/>
          <w:u w:val="single"/>
        </w:rPr>
        <w:t xml:space="preserve"> atvēršanas vieta, datums un laiks</w:t>
      </w:r>
      <w:r>
        <w:rPr>
          <w:rFonts w:ascii="Times New Roman" w:hAnsi="Times New Roman"/>
          <w:b/>
          <w:sz w:val="24"/>
          <w:szCs w:val="24"/>
        </w:rPr>
        <w:t xml:space="preserve">: </w:t>
      </w:r>
      <w:r w:rsidRPr="006230A5">
        <w:rPr>
          <w:rFonts w:ascii="Times New Roman" w:hAnsi="Times New Roman"/>
          <w:sz w:val="24"/>
          <w:szCs w:val="24"/>
        </w:rPr>
        <w:t>Latvijas Universitātes Saimniecības pārvald</w:t>
      </w:r>
      <w:r>
        <w:rPr>
          <w:rFonts w:ascii="Times New Roman" w:hAnsi="Times New Roman"/>
          <w:sz w:val="24"/>
          <w:szCs w:val="24"/>
        </w:rPr>
        <w:t>e</w:t>
      </w:r>
      <w:r w:rsidRPr="006230A5">
        <w:rPr>
          <w:rFonts w:ascii="Times New Roman" w:hAnsi="Times New Roman"/>
          <w:sz w:val="24"/>
          <w:szCs w:val="24"/>
        </w:rPr>
        <w:t>, Baznīcas ielā 5, 2.stāv</w:t>
      </w:r>
      <w:r>
        <w:rPr>
          <w:rFonts w:ascii="Times New Roman" w:hAnsi="Times New Roman"/>
          <w:sz w:val="24"/>
          <w:szCs w:val="24"/>
        </w:rPr>
        <w:t>a</w:t>
      </w:r>
      <w:r w:rsidRPr="006230A5">
        <w:rPr>
          <w:rFonts w:ascii="Times New Roman" w:hAnsi="Times New Roman"/>
          <w:sz w:val="24"/>
          <w:szCs w:val="24"/>
        </w:rPr>
        <w:t xml:space="preserve"> 201.kabinet</w:t>
      </w:r>
      <w:r>
        <w:rPr>
          <w:rFonts w:ascii="Times New Roman" w:hAnsi="Times New Roman"/>
          <w:sz w:val="24"/>
          <w:szCs w:val="24"/>
        </w:rPr>
        <w:t>s</w:t>
      </w:r>
      <w:r w:rsidRPr="006230A5">
        <w:rPr>
          <w:rFonts w:ascii="Times New Roman" w:hAnsi="Times New Roman"/>
          <w:sz w:val="24"/>
          <w:szCs w:val="24"/>
        </w:rPr>
        <w:t>, 2014.gada 6.maij</w:t>
      </w:r>
      <w:r>
        <w:rPr>
          <w:rFonts w:ascii="Times New Roman" w:hAnsi="Times New Roman"/>
          <w:sz w:val="24"/>
          <w:szCs w:val="24"/>
        </w:rPr>
        <w:t>s</w:t>
      </w:r>
      <w:r w:rsidRPr="006230A5">
        <w:rPr>
          <w:rFonts w:ascii="Times New Roman" w:hAnsi="Times New Roman"/>
          <w:sz w:val="24"/>
          <w:szCs w:val="24"/>
        </w:rPr>
        <w:t xml:space="preserve"> plkst.11:00.</w:t>
      </w:r>
    </w:p>
    <w:p w:rsidR="00DD3894" w:rsidRDefault="00001D94" w:rsidP="007F44B8">
      <w:pPr>
        <w:spacing w:after="100" w:line="26" w:lineRule="atLeast"/>
        <w:rPr>
          <w:rFonts w:ascii="Times New Roman" w:hAnsi="Times New Roman"/>
          <w:b/>
          <w:sz w:val="24"/>
          <w:szCs w:val="24"/>
          <w:u w:val="single"/>
        </w:rPr>
      </w:pPr>
      <w:r w:rsidRPr="00001D94">
        <w:rPr>
          <w:rFonts w:ascii="Times New Roman" w:hAnsi="Times New Roman"/>
          <w:b/>
          <w:sz w:val="24"/>
          <w:szCs w:val="24"/>
          <w:u w:val="single"/>
        </w:rPr>
        <w:t>Pretendentu nosaukumi, kuri iesnieguši piedāvājumus, kā arī piedāvātās cenas:</w:t>
      </w:r>
    </w:p>
    <w:p w:rsidR="00001D94" w:rsidRDefault="006230A5" w:rsidP="00001D94">
      <w:pPr>
        <w:numPr>
          <w:ilvl w:val="0"/>
          <w:numId w:val="9"/>
        </w:numPr>
        <w:spacing w:after="100" w:line="26" w:lineRule="atLeast"/>
        <w:rPr>
          <w:rFonts w:ascii="Times New Roman" w:hAnsi="Times New Roman"/>
          <w:sz w:val="24"/>
          <w:szCs w:val="24"/>
        </w:rPr>
      </w:pPr>
      <w:r>
        <w:rPr>
          <w:rFonts w:ascii="Times New Roman" w:hAnsi="Times New Roman"/>
          <w:sz w:val="24"/>
          <w:szCs w:val="24"/>
        </w:rPr>
        <w:t>„Hill International N.V.” Latvijas filiāle, piedāvātā līgumcena EUR 474 721,80 (bez PVN);</w:t>
      </w:r>
    </w:p>
    <w:p w:rsidR="006230A5" w:rsidRDefault="006230A5" w:rsidP="00001D94">
      <w:pPr>
        <w:numPr>
          <w:ilvl w:val="0"/>
          <w:numId w:val="9"/>
        </w:numPr>
        <w:spacing w:after="100" w:line="26" w:lineRule="atLeast"/>
        <w:rPr>
          <w:rFonts w:ascii="Times New Roman" w:hAnsi="Times New Roman"/>
          <w:sz w:val="24"/>
          <w:szCs w:val="24"/>
        </w:rPr>
      </w:pPr>
      <w:r>
        <w:rPr>
          <w:rFonts w:ascii="Times New Roman" w:hAnsi="Times New Roman"/>
          <w:sz w:val="24"/>
          <w:szCs w:val="24"/>
        </w:rPr>
        <w:t>SIA „BaltLine Globe”, piedāvātā līgumcena EUR 98 000 (bez PVN);</w:t>
      </w:r>
    </w:p>
    <w:p w:rsidR="006230A5" w:rsidRDefault="006230A5" w:rsidP="00001D94">
      <w:pPr>
        <w:numPr>
          <w:ilvl w:val="0"/>
          <w:numId w:val="9"/>
        </w:numPr>
        <w:spacing w:after="100" w:line="26" w:lineRule="atLeast"/>
        <w:rPr>
          <w:rFonts w:ascii="Times New Roman" w:hAnsi="Times New Roman"/>
          <w:sz w:val="24"/>
          <w:szCs w:val="24"/>
        </w:rPr>
      </w:pPr>
      <w:r>
        <w:rPr>
          <w:rFonts w:ascii="Times New Roman" w:hAnsi="Times New Roman"/>
          <w:sz w:val="24"/>
          <w:szCs w:val="24"/>
        </w:rPr>
        <w:t>Piegādātāju apvienība SIA „Jurēvičs un partneri” un SIA „Isliena V” EUR 170 079 (bez PVN).</w:t>
      </w:r>
    </w:p>
    <w:p w:rsidR="004A2149" w:rsidRPr="00913C41" w:rsidRDefault="00FF34CB" w:rsidP="004A2149">
      <w:pPr>
        <w:pStyle w:val="ListParagraph"/>
        <w:spacing w:after="0" w:line="240" w:lineRule="auto"/>
        <w:ind w:left="0"/>
        <w:jc w:val="both"/>
        <w:rPr>
          <w:rFonts w:ascii="Times New Roman" w:hAnsi="Times New Roman"/>
          <w:sz w:val="24"/>
          <w:szCs w:val="24"/>
        </w:rPr>
      </w:pPr>
      <w:r>
        <w:rPr>
          <w:rFonts w:ascii="Times New Roman" w:hAnsi="Times New Roman"/>
          <w:b/>
          <w:sz w:val="24"/>
          <w:szCs w:val="24"/>
          <w:u w:val="single"/>
        </w:rPr>
        <w:t xml:space="preserve">Iepirkuma komisijas </w:t>
      </w:r>
      <w:r w:rsidR="00E54C39">
        <w:rPr>
          <w:rFonts w:ascii="Times New Roman" w:hAnsi="Times New Roman"/>
          <w:b/>
          <w:sz w:val="24"/>
          <w:szCs w:val="24"/>
          <w:u w:val="single"/>
        </w:rPr>
        <w:t xml:space="preserve">sākotnējais </w:t>
      </w:r>
      <w:r>
        <w:rPr>
          <w:rFonts w:ascii="Times New Roman" w:hAnsi="Times New Roman"/>
          <w:b/>
          <w:sz w:val="24"/>
          <w:szCs w:val="24"/>
          <w:u w:val="single"/>
        </w:rPr>
        <w:t>lēmums</w:t>
      </w:r>
      <w:r w:rsidR="00971063" w:rsidRPr="00FF34CB">
        <w:rPr>
          <w:rFonts w:ascii="Times New Roman" w:hAnsi="Times New Roman"/>
          <w:b/>
          <w:sz w:val="24"/>
          <w:szCs w:val="24"/>
          <w:u w:val="single"/>
        </w:rPr>
        <w:t>:</w:t>
      </w:r>
      <w:r w:rsidR="006230A5">
        <w:rPr>
          <w:rFonts w:ascii="Times New Roman" w:hAnsi="Times New Roman"/>
          <w:b/>
          <w:sz w:val="24"/>
          <w:szCs w:val="24"/>
        </w:rPr>
        <w:t xml:space="preserve"> </w:t>
      </w:r>
      <w:r w:rsidR="007D5675">
        <w:rPr>
          <w:rFonts w:ascii="Times New Roman" w:hAnsi="Times New Roman"/>
          <w:sz w:val="24"/>
          <w:szCs w:val="24"/>
        </w:rPr>
        <w:t>I</w:t>
      </w:r>
      <w:r w:rsidR="007D5675" w:rsidRPr="00C1635F">
        <w:rPr>
          <w:rFonts w:ascii="Times New Roman" w:hAnsi="Times New Roman"/>
          <w:sz w:val="24"/>
          <w:szCs w:val="24"/>
        </w:rPr>
        <w:t>epirkumu uzraudzības biroja Iesniegumu izskatīšanas komis</w:t>
      </w:r>
      <w:r w:rsidR="007D5675">
        <w:rPr>
          <w:rFonts w:ascii="Times New Roman" w:hAnsi="Times New Roman"/>
          <w:sz w:val="24"/>
          <w:szCs w:val="24"/>
        </w:rPr>
        <w:t>ija 2014.gada 5.septembrī pieņēma</w:t>
      </w:r>
      <w:r w:rsidR="007D5675" w:rsidRPr="00C1635F">
        <w:rPr>
          <w:rFonts w:ascii="Times New Roman" w:hAnsi="Times New Roman"/>
          <w:sz w:val="24"/>
          <w:szCs w:val="24"/>
        </w:rPr>
        <w:t xml:space="preserve"> lēmumu Nr.4-1.2/14-224/3</w:t>
      </w:r>
      <w:r w:rsidR="007D5675">
        <w:rPr>
          <w:rFonts w:ascii="Times New Roman" w:hAnsi="Times New Roman"/>
          <w:sz w:val="24"/>
          <w:szCs w:val="24"/>
        </w:rPr>
        <w:t>, ar kuru</w:t>
      </w:r>
      <w:r w:rsidR="00636C56">
        <w:rPr>
          <w:rFonts w:ascii="Times New Roman" w:hAnsi="Times New Roman"/>
          <w:sz w:val="24"/>
          <w:szCs w:val="24"/>
        </w:rPr>
        <w:t xml:space="preserve"> tika atcelts</w:t>
      </w:r>
      <w:r w:rsidR="007D5675">
        <w:rPr>
          <w:rFonts w:ascii="Times New Roman" w:hAnsi="Times New Roman"/>
          <w:sz w:val="24"/>
          <w:szCs w:val="24"/>
        </w:rPr>
        <w:t xml:space="preserve"> </w:t>
      </w:r>
      <w:r w:rsidR="00636C56" w:rsidRPr="00C1635F">
        <w:rPr>
          <w:rFonts w:ascii="Times New Roman" w:hAnsi="Times New Roman"/>
          <w:sz w:val="24"/>
          <w:szCs w:val="24"/>
        </w:rPr>
        <w:t>atklātā konkursa „Būvuzraudzības</w:t>
      </w:r>
      <w:r w:rsidR="00636C56" w:rsidRPr="00C1635F" w:rsidDel="00E36EF8">
        <w:rPr>
          <w:rFonts w:ascii="Times New Roman" w:hAnsi="Times New Roman"/>
          <w:bCs/>
          <w:iCs/>
          <w:sz w:val="24"/>
          <w:szCs w:val="24"/>
        </w:rPr>
        <w:t xml:space="preserve"> </w:t>
      </w:r>
      <w:r w:rsidR="00636C56" w:rsidRPr="00C1635F">
        <w:rPr>
          <w:rFonts w:ascii="Times New Roman" w:hAnsi="Times New Roman"/>
          <w:bCs/>
          <w:iCs/>
          <w:sz w:val="24"/>
          <w:szCs w:val="24"/>
        </w:rPr>
        <w:t>nodrošināšana</w:t>
      </w:r>
      <w:r w:rsidR="00636C56" w:rsidRPr="00C1635F">
        <w:rPr>
          <w:rFonts w:ascii="Times New Roman" w:hAnsi="Times New Roman"/>
          <w:sz w:val="24"/>
          <w:szCs w:val="24"/>
        </w:rPr>
        <w:t xml:space="preserve"> Latvijas Universitātes Akadēmiskā centra Torņakalnā, Rīgā, 1.kārtas būvniecības laikā” (id.Nr. LU </w:t>
      </w:r>
      <w:r w:rsidR="00636C56" w:rsidRPr="00C1635F">
        <w:rPr>
          <w:rFonts w:ascii="Times New Roman" w:hAnsi="Times New Roman"/>
          <w:bCs/>
          <w:iCs/>
          <w:sz w:val="24"/>
          <w:szCs w:val="24"/>
        </w:rPr>
        <w:t>2014/4_ERAF</w:t>
      </w:r>
      <w:r w:rsidR="00636C56" w:rsidRPr="00C1635F">
        <w:rPr>
          <w:rFonts w:ascii="Times New Roman" w:hAnsi="Times New Roman"/>
          <w:sz w:val="24"/>
          <w:szCs w:val="24"/>
        </w:rPr>
        <w:t>)</w:t>
      </w:r>
      <w:r w:rsidR="00636C56">
        <w:rPr>
          <w:rFonts w:ascii="Times New Roman" w:hAnsi="Times New Roman"/>
          <w:sz w:val="24"/>
          <w:szCs w:val="24"/>
        </w:rPr>
        <w:t xml:space="preserve"> lēmums par rezultātiem </w:t>
      </w:r>
      <w:r w:rsidR="007D5675">
        <w:rPr>
          <w:rFonts w:ascii="Times New Roman" w:hAnsi="Times New Roman"/>
          <w:sz w:val="24"/>
          <w:szCs w:val="24"/>
        </w:rPr>
        <w:t xml:space="preserve">un </w:t>
      </w:r>
      <w:r w:rsidR="00636C56">
        <w:rPr>
          <w:rFonts w:ascii="Times New Roman" w:hAnsi="Times New Roman"/>
          <w:sz w:val="24"/>
          <w:szCs w:val="24"/>
        </w:rPr>
        <w:t xml:space="preserve">tika </w:t>
      </w:r>
      <w:r w:rsidR="007D5675">
        <w:rPr>
          <w:rFonts w:ascii="Times New Roman" w:hAnsi="Times New Roman"/>
          <w:sz w:val="24"/>
          <w:szCs w:val="24"/>
        </w:rPr>
        <w:t xml:space="preserve">uzdots </w:t>
      </w:r>
      <w:r w:rsidR="00636C56">
        <w:rPr>
          <w:rFonts w:ascii="Times New Roman" w:hAnsi="Times New Roman"/>
          <w:sz w:val="24"/>
          <w:szCs w:val="24"/>
        </w:rPr>
        <w:t>atkārtoti izvērtēt konkursā iesniegtos piedāvājumus.</w:t>
      </w:r>
    </w:p>
    <w:p w:rsidR="004A2149" w:rsidRPr="004A2149" w:rsidRDefault="004A2149" w:rsidP="004A2149">
      <w:pPr>
        <w:pStyle w:val="ListParagraph"/>
        <w:spacing w:after="0" w:line="240" w:lineRule="auto"/>
        <w:ind w:left="0"/>
        <w:jc w:val="both"/>
        <w:rPr>
          <w:rFonts w:ascii="Times New Roman" w:hAnsi="Times New Roman"/>
          <w:kern w:val="28"/>
          <w:sz w:val="24"/>
          <w:szCs w:val="24"/>
        </w:rPr>
      </w:pPr>
    </w:p>
    <w:p w:rsidR="004F6185" w:rsidRPr="004F6185" w:rsidRDefault="00C1635F" w:rsidP="004F6185">
      <w:pPr>
        <w:spacing w:after="100" w:line="26" w:lineRule="atLeast"/>
        <w:jc w:val="both"/>
        <w:rPr>
          <w:rFonts w:ascii="Times New Roman" w:hAnsi="Times New Roman"/>
          <w:b/>
          <w:sz w:val="24"/>
          <w:szCs w:val="24"/>
        </w:rPr>
      </w:pPr>
      <w:r w:rsidRPr="004F6185">
        <w:rPr>
          <w:rFonts w:ascii="Times New Roman" w:hAnsi="Times New Roman"/>
          <w:b/>
          <w:sz w:val="24"/>
          <w:szCs w:val="24"/>
          <w:u w:val="single"/>
        </w:rPr>
        <w:t>Lēmuma pamatojums</w:t>
      </w:r>
      <w:r w:rsidR="00F320B8" w:rsidRPr="004F6185">
        <w:rPr>
          <w:rFonts w:ascii="Times New Roman" w:hAnsi="Times New Roman"/>
          <w:b/>
          <w:sz w:val="24"/>
          <w:szCs w:val="24"/>
          <w:u w:val="single"/>
        </w:rPr>
        <w:t xml:space="preserve"> </w:t>
      </w:r>
      <w:r w:rsidR="001D3380" w:rsidRPr="004F6185">
        <w:rPr>
          <w:rFonts w:ascii="Times New Roman" w:hAnsi="Times New Roman"/>
          <w:b/>
          <w:sz w:val="24"/>
          <w:szCs w:val="24"/>
          <w:u w:val="single"/>
        </w:rPr>
        <w:t>iepirkuma procedūras pārtraukšanai</w:t>
      </w:r>
      <w:r w:rsidR="00971063" w:rsidRPr="004F6185">
        <w:rPr>
          <w:rFonts w:ascii="Times New Roman" w:hAnsi="Times New Roman"/>
          <w:b/>
          <w:sz w:val="24"/>
          <w:szCs w:val="24"/>
        </w:rPr>
        <w:t>:</w:t>
      </w:r>
      <w:r w:rsidR="006230A5" w:rsidRPr="004F6185">
        <w:rPr>
          <w:rFonts w:ascii="Times New Roman" w:hAnsi="Times New Roman"/>
          <w:b/>
          <w:sz w:val="24"/>
          <w:szCs w:val="24"/>
        </w:rPr>
        <w:t xml:space="preserve"> </w:t>
      </w:r>
      <w:r w:rsidR="00636C56" w:rsidRPr="004F6185">
        <w:rPr>
          <w:rFonts w:ascii="Times New Roman" w:hAnsi="Times New Roman"/>
          <w:bCs/>
          <w:iCs/>
          <w:sz w:val="24"/>
          <w:szCs w:val="24"/>
        </w:rPr>
        <w:t xml:space="preserve">Atkārtoti </w:t>
      </w:r>
      <w:r w:rsidR="004F6185" w:rsidRPr="004F6185">
        <w:rPr>
          <w:rFonts w:ascii="Times New Roman" w:hAnsi="Times New Roman"/>
          <w:bCs/>
          <w:iCs/>
          <w:sz w:val="24"/>
          <w:szCs w:val="24"/>
        </w:rPr>
        <w:t>izvērtējot iesniegtos piedāvājumus</w:t>
      </w:r>
      <w:r w:rsidR="004F6185" w:rsidRPr="004F6185">
        <w:rPr>
          <w:rFonts w:ascii="Times New Roman" w:hAnsi="Times New Roman"/>
          <w:sz w:val="24"/>
          <w:szCs w:val="24"/>
        </w:rPr>
        <w:t>, iepirkuma komisija nolēma izvērtēt lietderību un Pasūtītāja vajadzību pēc šāda iepirkuma, ņemot vērā paveikto būvdarbu un vēl izpildāmo būvdarbu apjomu.</w:t>
      </w:r>
    </w:p>
    <w:p w:rsidR="004F6185" w:rsidRPr="004F6185" w:rsidRDefault="004F6185" w:rsidP="004F6185">
      <w:pPr>
        <w:spacing w:after="100" w:line="26" w:lineRule="atLeast"/>
        <w:jc w:val="both"/>
        <w:rPr>
          <w:rFonts w:ascii="Times New Roman" w:hAnsi="Times New Roman"/>
          <w:b/>
          <w:sz w:val="24"/>
          <w:szCs w:val="24"/>
        </w:rPr>
      </w:pPr>
      <w:r w:rsidRPr="004F6185">
        <w:rPr>
          <w:rFonts w:ascii="Times New Roman" w:hAnsi="Times New Roman"/>
          <w:sz w:val="24"/>
          <w:szCs w:val="24"/>
        </w:rPr>
        <w:t xml:space="preserve">Iepirkuma komisija konstatēja, ka, ņemot vērā, ka paralēli konkursa norisei, sākot ar 2014.gada 4.martu, </w:t>
      </w:r>
      <w:r w:rsidRPr="004F6185">
        <w:rPr>
          <w:rFonts w:ascii="Times New Roman" w:hAnsi="Times New Roman"/>
          <w:sz w:val="24"/>
          <w:szCs w:val="24"/>
          <w:shd w:val="clear" w:color="auto" w:fill="FFFFFF"/>
        </w:rPr>
        <w:t xml:space="preserve">ir veikta nepārtraukta intensīva būvniecība </w:t>
      </w:r>
      <w:r w:rsidRPr="004F6185">
        <w:rPr>
          <w:rFonts w:ascii="Times New Roman" w:hAnsi="Times New Roman"/>
          <w:sz w:val="24"/>
          <w:szCs w:val="24"/>
        </w:rPr>
        <w:t>Latvijas Universitātes Akadēmiskā centrā Torņkalnā, Rīgā, kuras rezultātā ir paveikta būtiska darbu daļa no kopējā būvdarbu apjoma, t.i., kopumā</w:t>
      </w:r>
      <w:r w:rsidRPr="004F6185">
        <w:rPr>
          <w:rFonts w:ascii="Times New Roman" w:hAnsi="Times New Roman"/>
          <w:sz w:val="24"/>
          <w:szCs w:val="24"/>
          <w:shd w:val="clear" w:color="auto" w:fill="FFFFFF"/>
        </w:rPr>
        <w:t xml:space="preserve"> </w:t>
      </w:r>
      <w:r w:rsidRPr="004F6185">
        <w:rPr>
          <w:rFonts w:ascii="Times New Roman" w:hAnsi="Times New Roman"/>
          <w:kern w:val="28"/>
          <w:sz w:val="24"/>
          <w:szCs w:val="24"/>
        </w:rPr>
        <w:t xml:space="preserve">izpildītais </w:t>
      </w:r>
      <w:r w:rsidRPr="004F6185">
        <w:rPr>
          <w:rFonts w:ascii="Times New Roman" w:hAnsi="Times New Roman"/>
          <w:sz w:val="24"/>
          <w:szCs w:val="24"/>
        </w:rPr>
        <w:t xml:space="preserve">būvdarbu apjoms līguma izpildes laika izteiksmē ir aptuveni 40 procenti, bet, ņemot vērā uzraugāmo būvdarbu izpildes apjomu, vairāk kā 30 procentu, t.i., </w:t>
      </w:r>
      <w:r w:rsidRPr="004F6185">
        <w:rPr>
          <w:rFonts w:ascii="Times New Roman" w:hAnsi="Times New Roman"/>
          <w:sz w:val="24"/>
          <w:szCs w:val="24"/>
          <w:shd w:val="clear" w:color="auto" w:fill="FFFFFF"/>
        </w:rPr>
        <w:t>pilnībā ir iebetonēts ēkas karkass līdz</w:t>
      </w:r>
      <w:r w:rsidRPr="004F6185">
        <w:rPr>
          <w:rStyle w:val="apple-converted-space"/>
          <w:rFonts w:ascii="Times New Roman" w:hAnsi="Times New Roman"/>
          <w:sz w:val="24"/>
          <w:szCs w:val="24"/>
          <w:shd w:val="clear" w:color="auto" w:fill="FFFFFF"/>
        </w:rPr>
        <w:t> </w:t>
      </w:r>
      <w:hyperlink r:id="rId8" w:tgtFrame="_blank" w:history="1">
        <w:r w:rsidRPr="004F6185">
          <w:rPr>
            <w:rStyle w:val="Hyperlink"/>
            <w:rFonts w:ascii="Times New Roman" w:hAnsi="Times New Roman"/>
            <w:color w:val="auto"/>
            <w:sz w:val="24"/>
            <w:szCs w:val="24"/>
            <w:u w:val="none"/>
            <w:shd w:val="clear" w:color="auto" w:fill="FFFFFF"/>
          </w:rPr>
          <w:t>7.st</w:t>
        </w:r>
      </w:hyperlink>
      <w:r w:rsidRPr="004F6185">
        <w:rPr>
          <w:rFonts w:ascii="Times New Roman" w:hAnsi="Times New Roman"/>
          <w:sz w:val="24"/>
          <w:szCs w:val="24"/>
          <w:shd w:val="clear" w:color="auto" w:fill="FFFFFF"/>
        </w:rPr>
        <w:t xml:space="preserve">āva pārsegumam un jumta pārsegums. Akadēmiskā centra pagrabā ir pabeigta zemgrīdas kanalizācijas cauruļvadu montāža un pabeigti grīdas betonēšanas darbi. Objektā turpinās ēkas fasādes saliekamo dzelzsbetona paneļu montāža, saliekamo dzelzsbetona kāpņu konstrukciju montāža, reģipša starpsienu konstrukciju montāža un iekšējo inženierkomunikāciju montāža ēkas pirmajos stāvos, kā arī teritorijā notiek kanalizācijas tīklu montāžas un zemes darbi, paveikti nesošo konstrukciju darbi. </w:t>
      </w:r>
    </w:p>
    <w:p w:rsidR="004F6185" w:rsidRPr="004F6185" w:rsidRDefault="004F6185" w:rsidP="004F6185">
      <w:pPr>
        <w:pStyle w:val="ListParagraph"/>
        <w:spacing w:after="120"/>
        <w:ind w:left="0" w:firstLine="426"/>
        <w:jc w:val="both"/>
        <w:rPr>
          <w:rFonts w:ascii="Times New Roman" w:hAnsi="Times New Roman"/>
          <w:bCs/>
          <w:iCs/>
          <w:sz w:val="24"/>
          <w:szCs w:val="24"/>
        </w:rPr>
      </w:pPr>
      <w:r w:rsidRPr="004F6185">
        <w:rPr>
          <w:rFonts w:ascii="Times New Roman" w:hAnsi="Times New Roman"/>
          <w:bCs/>
          <w:iCs/>
          <w:sz w:val="24"/>
          <w:szCs w:val="24"/>
        </w:rPr>
        <w:t xml:space="preserve">Ievērojot minēto apstākli, iepirkuma komisija secina, ka </w:t>
      </w:r>
      <w:r w:rsidRPr="004F6185">
        <w:rPr>
          <w:rFonts w:ascii="Times New Roman" w:hAnsi="Times New Roman"/>
          <w:kern w:val="28"/>
          <w:sz w:val="24"/>
          <w:szCs w:val="24"/>
        </w:rPr>
        <w:t xml:space="preserve">Latvijas Universitātei faktiski ir zudusi nepieciešamība iegādāties tādu būvuzraudzības pakalpojumu apjomu, kāds bija noteikts konkursa tehniskajā specifikācijā. Līdz ar to iepirkuma komisija saskaņā ar Publisko iepirkumu likuma 38.panta otro daļu pieņēma lēmumu pārtraukt </w:t>
      </w:r>
      <w:r w:rsidR="007565DA" w:rsidRPr="00C1635F">
        <w:rPr>
          <w:rFonts w:ascii="Times New Roman" w:hAnsi="Times New Roman"/>
          <w:sz w:val="24"/>
          <w:szCs w:val="24"/>
        </w:rPr>
        <w:t>atklāt</w:t>
      </w:r>
      <w:r w:rsidR="007565DA">
        <w:rPr>
          <w:rFonts w:ascii="Times New Roman" w:hAnsi="Times New Roman"/>
          <w:sz w:val="24"/>
          <w:szCs w:val="24"/>
        </w:rPr>
        <w:t>o</w:t>
      </w:r>
      <w:r w:rsidR="007565DA" w:rsidRPr="00C1635F">
        <w:rPr>
          <w:rFonts w:ascii="Times New Roman" w:hAnsi="Times New Roman"/>
          <w:sz w:val="24"/>
          <w:szCs w:val="24"/>
        </w:rPr>
        <w:t xml:space="preserve"> konkurs</w:t>
      </w:r>
      <w:r w:rsidR="007565DA">
        <w:rPr>
          <w:rFonts w:ascii="Times New Roman" w:hAnsi="Times New Roman"/>
          <w:sz w:val="24"/>
          <w:szCs w:val="24"/>
        </w:rPr>
        <w:t>u</w:t>
      </w:r>
      <w:r w:rsidR="007565DA" w:rsidRPr="00C1635F">
        <w:rPr>
          <w:rFonts w:ascii="Times New Roman" w:hAnsi="Times New Roman"/>
          <w:sz w:val="24"/>
          <w:szCs w:val="24"/>
        </w:rPr>
        <w:t xml:space="preserve"> „Būvuzraudzības</w:t>
      </w:r>
      <w:r w:rsidR="007565DA" w:rsidRPr="00C1635F" w:rsidDel="00E36EF8">
        <w:rPr>
          <w:rFonts w:ascii="Times New Roman" w:hAnsi="Times New Roman"/>
          <w:bCs/>
          <w:iCs/>
          <w:sz w:val="24"/>
          <w:szCs w:val="24"/>
        </w:rPr>
        <w:t xml:space="preserve"> </w:t>
      </w:r>
      <w:r w:rsidR="007565DA" w:rsidRPr="00C1635F">
        <w:rPr>
          <w:rFonts w:ascii="Times New Roman" w:hAnsi="Times New Roman"/>
          <w:bCs/>
          <w:iCs/>
          <w:sz w:val="24"/>
          <w:szCs w:val="24"/>
        </w:rPr>
        <w:t>nodrošināšana</w:t>
      </w:r>
      <w:r w:rsidR="007565DA" w:rsidRPr="00C1635F">
        <w:rPr>
          <w:rFonts w:ascii="Times New Roman" w:hAnsi="Times New Roman"/>
          <w:sz w:val="24"/>
          <w:szCs w:val="24"/>
        </w:rPr>
        <w:t xml:space="preserve"> Latvijas Universitātes Akadēmiskā centra Torņakalnā, Rīgā, 1.kārtas būvniecības laikā” (id.Nr. LU </w:t>
      </w:r>
      <w:r w:rsidR="007565DA" w:rsidRPr="00C1635F">
        <w:rPr>
          <w:rFonts w:ascii="Times New Roman" w:hAnsi="Times New Roman"/>
          <w:bCs/>
          <w:iCs/>
          <w:sz w:val="24"/>
          <w:szCs w:val="24"/>
        </w:rPr>
        <w:t>2014/4_ERAF</w:t>
      </w:r>
      <w:r w:rsidR="007565DA" w:rsidRPr="00C1635F">
        <w:rPr>
          <w:rFonts w:ascii="Times New Roman" w:hAnsi="Times New Roman"/>
          <w:sz w:val="24"/>
          <w:szCs w:val="24"/>
        </w:rPr>
        <w:t>)</w:t>
      </w:r>
      <w:r w:rsidRPr="004F6185">
        <w:rPr>
          <w:rFonts w:ascii="Times New Roman" w:hAnsi="Times New Roman"/>
          <w:kern w:val="28"/>
          <w:sz w:val="24"/>
          <w:szCs w:val="24"/>
        </w:rPr>
        <w:t>.</w:t>
      </w:r>
    </w:p>
    <w:p w:rsidR="004F6185" w:rsidRDefault="004F6185" w:rsidP="004F6185">
      <w:pPr>
        <w:pStyle w:val="ListParagraph"/>
        <w:spacing w:after="120"/>
        <w:ind w:left="0" w:firstLine="426"/>
        <w:jc w:val="both"/>
        <w:rPr>
          <w:rFonts w:ascii="Times New Roman" w:hAnsi="Times New Roman"/>
          <w:bCs/>
          <w:iCs/>
          <w:sz w:val="24"/>
          <w:szCs w:val="24"/>
        </w:rPr>
      </w:pPr>
    </w:p>
    <w:p w:rsidR="004E367E" w:rsidRDefault="004E367E" w:rsidP="004E367E">
      <w:pPr>
        <w:spacing w:after="120" w:line="360" w:lineRule="auto"/>
        <w:jc w:val="both"/>
        <w:rPr>
          <w:rFonts w:ascii="Times New Roman" w:hAnsi="Times New Roman"/>
          <w:sz w:val="24"/>
          <w:szCs w:val="24"/>
        </w:rPr>
      </w:pPr>
      <w:r>
        <w:rPr>
          <w:rFonts w:ascii="Times New Roman" w:hAnsi="Times New Roman"/>
          <w:sz w:val="24"/>
          <w:szCs w:val="24"/>
        </w:rPr>
        <w:t>Sagatavotājs</w:t>
      </w:r>
    </w:p>
    <w:p w:rsidR="00084722" w:rsidRPr="004F6185" w:rsidRDefault="004E367E" w:rsidP="004E367E">
      <w:pPr>
        <w:spacing w:after="120" w:line="360" w:lineRule="auto"/>
        <w:jc w:val="both"/>
        <w:rPr>
          <w:rFonts w:ascii="TimesNewRomanPSMT" w:hAnsi="TimesNewRomanPSMT" w:cs="TimesNewRomanPSMT"/>
          <w:sz w:val="24"/>
          <w:szCs w:val="24"/>
        </w:rPr>
      </w:pPr>
      <w:r>
        <w:rPr>
          <w:rFonts w:ascii="Times New Roman" w:hAnsi="Times New Roman"/>
          <w:sz w:val="24"/>
          <w:szCs w:val="24"/>
        </w:rPr>
        <w:t>N.Orols 67043827</w:t>
      </w:r>
    </w:p>
    <w:sectPr w:rsidR="00084722" w:rsidRPr="004F6185" w:rsidSect="007565DA">
      <w:footerReference w:type="default" r:id="rId9"/>
      <w:pgSz w:w="11906" w:h="16838"/>
      <w:pgMar w:top="1440" w:right="1080" w:bottom="993"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F78" w:rsidRDefault="00396F78" w:rsidP="00F40638">
      <w:pPr>
        <w:spacing w:after="0" w:line="240" w:lineRule="auto"/>
      </w:pPr>
      <w:r>
        <w:separator/>
      </w:r>
    </w:p>
  </w:endnote>
  <w:endnote w:type="continuationSeparator" w:id="0">
    <w:p w:rsidR="00396F78" w:rsidRDefault="00396F78" w:rsidP="00F40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38" w:rsidRDefault="00F40638">
    <w:pPr>
      <w:pStyle w:val="Footer"/>
      <w:jc w:val="center"/>
    </w:pPr>
    <w:fldSimple w:instr=" PAGE   \* MERGEFORMAT ">
      <w:r w:rsidR="004E367E">
        <w:rPr>
          <w:noProof/>
        </w:rPr>
        <w:t>3</w:t>
      </w:r>
    </w:fldSimple>
  </w:p>
  <w:p w:rsidR="00F40638" w:rsidRDefault="00F40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F78" w:rsidRDefault="00396F78" w:rsidP="00F40638">
      <w:pPr>
        <w:spacing w:after="0" w:line="240" w:lineRule="auto"/>
      </w:pPr>
      <w:r>
        <w:separator/>
      </w:r>
    </w:p>
  </w:footnote>
  <w:footnote w:type="continuationSeparator" w:id="0">
    <w:p w:rsidR="00396F78" w:rsidRDefault="00396F78" w:rsidP="00F40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E4CB748"/>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bullet"/>
      <w:lvlText w:val="-"/>
      <w:lvlJc w:val="left"/>
      <w:pPr>
        <w:tabs>
          <w:tab w:val="num" w:pos="720"/>
        </w:tabs>
        <w:ind w:left="720" w:firstLine="0"/>
      </w:pPr>
      <w:rPr>
        <w:rFonts w:ascii="Times New Roman" w:eastAsia="Times New Roman" w:hAnsi="Times New Roman" w:cs="Times New Roman" w:hint="default"/>
        <w:b w:val="0"/>
        <w:i w:val="0"/>
        <w:color w:val="000000"/>
        <w:sz w:val="22"/>
        <w:szCs w:val="24"/>
      </w:rPr>
    </w:lvl>
    <w:lvl w:ilvl="2">
      <w:start w:val="1"/>
      <w:numFmt w:val="bullet"/>
      <w:lvlText w:val=""/>
      <w:lvlJc w:val="left"/>
      <w:pPr>
        <w:tabs>
          <w:tab w:val="num" w:pos="720"/>
        </w:tabs>
        <w:ind w:left="720" w:firstLine="0"/>
      </w:pPr>
      <w:rPr>
        <w:rFonts w:ascii="Wingdings" w:hAnsi="Wingdings" w:hint="default"/>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14405D"/>
    <w:multiLevelType w:val="multilevel"/>
    <w:tmpl w:val="241E15EE"/>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0E5C1189"/>
    <w:multiLevelType w:val="multilevel"/>
    <w:tmpl w:val="D73A4498"/>
    <w:lvl w:ilvl="0">
      <w:start w:val="1"/>
      <w:numFmt w:val="decimal"/>
      <w:lvlText w:val="%1."/>
      <w:lvlJc w:val="left"/>
      <w:pPr>
        <w:tabs>
          <w:tab w:val="num" w:pos="851"/>
        </w:tabs>
        <w:ind w:left="851" w:hanging="851"/>
      </w:pPr>
      <w:rPr>
        <w:rFonts w:cs="Times New Roman" w:hint="default"/>
        <w:b/>
      </w:rPr>
    </w:lvl>
    <w:lvl w:ilvl="1">
      <w:start w:val="1"/>
      <w:numFmt w:val="decimal"/>
      <w:lvlText w:val="%1.%2."/>
      <w:lvlJc w:val="left"/>
      <w:pPr>
        <w:tabs>
          <w:tab w:val="num" w:pos="851"/>
        </w:tabs>
        <w:ind w:left="851" w:hanging="851"/>
      </w:pPr>
      <w:rPr>
        <w:rFonts w:cs="Times New Roman" w:hint="default"/>
        <w:b w:val="0"/>
        <w:bCs/>
      </w:rPr>
    </w:lvl>
    <w:lvl w:ilvl="2">
      <w:start w:val="1"/>
      <w:numFmt w:val="decimal"/>
      <w:lvlText w:val="%1.%2.%3."/>
      <w:lvlJc w:val="left"/>
      <w:pPr>
        <w:tabs>
          <w:tab w:val="num" w:pos="1560"/>
        </w:tabs>
        <w:ind w:left="1560" w:hanging="851"/>
      </w:pPr>
      <w:rPr>
        <w:rFonts w:ascii="Times New Roman" w:hAnsi="Times New Roman" w:cs="Times New Roman" w:hint="default"/>
        <w:b w:val="0"/>
        <w:strike w:val="0"/>
        <w:sz w:val="24"/>
        <w:szCs w:val="24"/>
      </w:rPr>
    </w:lvl>
    <w:lvl w:ilvl="3">
      <w:start w:val="1"/>
      <w:numFmt w:val="decimal"/>
      <w:lvlText w:val="%1.%2.%3.%4."/>
      <w:lvlJc w:val="left"/>
      <w:pPr>
        <w:tabs>
          <w:tab w:val="num" w:pos="2291"/>
        </w:tabs>
        <w:ind w:left="2291" w:hanging="851"/>
      </w:pPr>
      <w:rPr>
        <w:rFonts w:cs="Times New Roman" w:hint="default"/>
        <w:b w:val="0"/>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34EA2169"/>
    <w:multiLevelType w:val="hybridMultilevel"/>
    <w:tmpl w:val="02D28BA0"/>
    <w:lvl w:ilvl="0" w:tplc="DFB01BD4">
      <w:start w:val="1"/>
      <w:numFmt w:val="lowerLetter"/>
      <w:lvlText w:val="%1)"/>
      <w:lvlJc w:val="left"/>
      <w:pPr>
        <w:tabs>
          <w:tab w:val="num" w:pos="1682"/>
        </w:tabs>
        <w:ind w:left="1682" w:hanging="405"/>
      </w:pPr>
      <w:rPr>
        <w:rFonts w:hint="default"/>
      </w:rPr>
    </w:lvl>
    <w:lvl w:ilvl="1" w:tplc="04260005">
      <w:start w:val="1"/>
      <w:numFmt w:val="bullet"/>
      <w:lvlText w:val=""/>
      <w:lvlJc w:val="left"/>
      <w:pPr>
        <w:tabs>
          <w:tab w:val="num" w:pos="2357"/>
        </w:tabs>
        <w:ind w:left="2357" w:hanging="360"/>
      </w:pPr>
      <w:rPr>
        <w:rFonts w:ascii="Wingdings" w:hAnsi="Wingdings" w:hint="default"/>
      </w:rPr>
    </w:lvl>
    <w:lvl w:ilvl="2" w:tplc="0426001B" w:tentative="1">
      <w:start w:val="1"/>
      <w:numFmt w:val="lowerRoman"/>
      <w:lvlText w:val="%3."/>
      <w:lvlJc w:val="right"/>
      <w:pPr>
        <w:tabs>
          <w:tab w:val="num" w:pos="3077"/>
        </w:tabs>
        <w:ind w:left="3077" w:hanging="180"/>
      </w:pPr>
    </w:lvl>
    <w:lvl w:ilvl="3" w:tplc="0426000F" w:tentative="1">
      <w:start w:val="1"/>
      <w:numFmt w:val="decimal"/>
      <w:lvlText w:val="%4."/>
      <w:lvlJc w:val="left"/>
      <w:pPr>
        <w:tabs>
          <w:tab w:val="num" w:pos="3797"/>
        </w:tabs>
        <w:ind w:left="3797" w:hanging="360"/>
      </w:pPr>
    </w:lvl>
    <w:lvl w:ilvl="4" w:tplc="04260019" w:tentative="1">
      <w:start w:val="1"/>
      <w:numFmt w:val="lowerLetter"/>
      <w:lvlText w:val="%5."/>
      <w:lvlJc w:val="left"/>
      <w:pPr>
        <w:tabs>
          <w:tab w:val="num" w:pos="4517"/>
        </w:tabs>
        <w:ind w:left="4517" w:hanging="360"/>
      </w:pPr>
    </w:lvl>
    <w:lvl w:ilvl="5" w:tplc="0426001B" w:tentative="1">
      <w:start w:val="1"/>
      <w:numFmt w:val="lowerRoman"/>
      <w:lvlText w:val="%6."/>
      <w:lvlJc w:val="right"/>
      <w:pPr>
        <w:tabs>
          <w:tab w:val="num" w:pos="5237"/>
        </w:tabs>
        <w:ind w:left="5237" w:hanging="180"/>
      </w:pPr>
    </w:lvl>
    <w:lvl w:ilvl="6" w:tplc="0426000F" w:tentative="1">
      <w:start w:val="1"/>
      <w:numFmt w:val="decimal"/>
      <w:lvlText w:val="%7."/>
      <w:lvlJc w:val="left"/>
      <w:pPr>
        <w:tabs>
          <w:tab w:val="num" w:pos="5957"/>
        </w:tabs>
        <w:ind w:left="5957" w:hanging="360"/>
      </w:pPr>
    </w:lvl>
    <w:lvl w:ilvl="7" w:tplc="04260019" w:tentative="1">
      <w:start w:val="1"/>
      <w:numFmt w:val="lowerLetter"/>
      <w:lvlText w:val="%8."/>
      <w:lvlJc w:val="left"/>
      <w:pPr>
        <w:tabs>
          <w:tab w:val="num" w:pos="6677"/>
        </w:tabs>
        <w:ind w:left="6677" w:hanging="360"/>
      </w:pPr>
    </w:lvl>
    <w:lvl w:ilvl="8" w:tplc="0426001B" w:tentative="1">
      <w:start w:val="1"/>
      <w:numFmt w:val="lowerRoman"/>
      <w:lvlText w:val="%9."/>
      <w:lvlJc w:val="right"/>
      <w:pPr>
        <w:tabs>
          <w:tab w:val="num" w:pos="7397"/>
        </w:tabs>
        <w:ind w:left="7397" w:hanging="180"/>
      </w:pPr>
    </w:lvl>
  </w:abstractNum>
  <w:abstractNum w:abstractNumId="4">
    <w:nsid w:val="38D33A84"/>
    <w:multiLevelType w:val="hybridMultilevel"/>
    <w:tmpl w:val="EB5E2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CFA5612"/>
    <w:multiLevelType w:val="hybridMultilevel"/>
    <w:tmpl w:val="2FCE4D24"/>
    <w:lvl w:ilvl="0" w:tplc="4FB428CA">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nsid w:val="52C05190"/>
    <w:multiLevelType w:val="hybridMultilevel"/>
    <w:tmpl w:val="0B645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9694DFF"/>
    <w:multiLevelType w:val="hybridMultilevel"/>
    <w:tmpl w:val="0A50E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B797C53"/>
    <w:multiLevelType w:val="hybridMultilevel"/>
    <w:tmpl w:val="953C9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70627C9"/>
    <w:multiLevelType w:val="hybridMultilevel"/>
    <w:tmpl w:val="D37CF8B2"/>
    <w:lvl w:ilvl="0" w:tplc="4FB428CA">
      <w:start w:val="1"/>
      <w:numFmt w:val="bullet"/>
      <w:lvlText w:val="-"/>
      <w:lvlJc w:val="left"/>
      <w:pPr>
        <w:ind w:left="1440" w:hanging="360"/>
      </w:pPr>
      <w:rPr>
        <w:rFonts w:ascii="Times New Roman" w:eastAsia="Times New Roman" w:hAnsi="Times New Roman" w:cs="Times New Roman" w:hint="default"/>
      </w:rPr>
    </w:lvl>
    <w:lvl w:ilvl="1" w:tplc="4FB428CA">
      <w:start w:val="1"/>
      <w:numFmt w:val="bullet"/>
      <w:lvlText w:val="-"/>
      <w:lvlJc w:val="left"/>
      <w:pPr>
        <w:ind w:left="2160" w:hanging="360"/>
      </w:pPr>
      <w:rPr>
        <w:rFonts w:ascii="Times New Roman" w:eastAsia="Times New Roman"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6B3A5058"/>
    <w:multiLevelType w:val="hybridMultilevel"/>
    <w:tmpl w:val="AB6A9600"/>
    <w:lvl w:ilvl="0" w:tplc="4F9447AE">
      <w:start w:val="1"/>
      <w:numFmt w:val="lowerLetter"/>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5"/>
  </w:num>
  <w:num w:numId="4">
    <w:abstractNumId w:val="3"/>
  </w:num>
  <w:num w:numId="5">
    <w:abstractNumId w:val="10"/>
  </w:num>
  <w:num w:numId="6">
    <w:abstractNumId w:val="6"/>
  </w:num>
  <w:num w:numId="7">
    <w:abstractNumId w:val="9"/>
  </w:num>
  <w:num w:numId="8">
    <w:abstractNumId w:val="0"/>
  </w:num>
  <w:num w:numId="9">
    <w:abstractNumId w:val="8"/>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56F34"/>
    <w:rsid w:val="00001D94"/>
    <w:rsid w:val="00043A01"/>
    <w:rsid w:val="00084722"/>
    <w:rsid w:val="00163249"/>
    <w:rsid w:val="0019618B"/>
    <w:rsid w:val="001B58A7"/>
    <w:rsid w:val="001D3380"/>
    <w:rsid w:val="001E7272"/>
    <w:rsid w:val="001F7F9D"/>
    <w:rsid w:val="00202652"/>
    <w:rsid w:val="0020570C"/>
    <w:rsid w:val="00251ADB"/>
    <w:rsid w:val="00274BD8"/>
    <w:rsid w:val="002D1C4A"/>
    <w:rsid w:val="00354E78"/>
    <w:rsid w:val="003568AC"/>
    <w:rsid w:val="00360A35"/>
    <w:rsid w:val="00365C4B"/>
    <w:rsid w:val="003951AF"/>
    <w:rsid w:val="00396F78"/>
    <w:rsid w:val="00434B45"/>
    <w:rsid w:val="004756AC"/>
    <w:rsid w:val="0047619F"/>
    <w:rsid w:val="004A2149"/>
    <w:rsid w:val="004D042F"/>
    <w:rsid w:val="004E367E"/>
    <w:rsid w:val="004F6185"/>
    <w:rsid w:val="00525F02"/>
    <w:rsid w:val="00601E1A"/>
    <w:rsid w:val="00604CBB"/>
    <w:rsid w:val="006230A5"/>
    <w:rsid w:val="00636C56"/>
    <w:rsid w:val="00655192"/>
    <w:rsid w:val="00692A7D"/>
    <w:rsid w:val="006F03F8"/>
    <w:rsid w:val="006F08A0"/>
    <w:rsid w:val="006F1D9C"/>
    <w:rsid w:val="0073053A"/>
    <w:rsid w:val="00734603"/>
    <w:rsid w:val="007408BE"/>
    <w:rsid w:val="007565DA"/>
    <w:rsid w:val="00767DFA"/>
    <w:rsid w:val="007A6085"/>
    <w:rsid w:val="007D5675"/>
    <w:rsid w:val="007F44B8"/>
    <w:rsid w:val="00864E0D"/>
    <w:rsid w:val="00867797"/>
    <w:rsid w:val="008C66C3"/>
    <w:rsid w:val="00913C41"/>
    <w:rsid w:val="00971063"/>
    <w:rsid w:val="009970E6"/>
    <w:rsid w:val="00A71A33"/>
    <w:rsid w:val="00A91B64"/>
    <w:rsid w:val="00B02C9C"/>
    <w:rsid w:val="00B815BA"/>
    <w:rsid w:val="00BC6E8B"/>
    <w:rsid w:val="00BD7729"/>
    <w:rsid w:val="00BE1509"/>
    <w:rsid w:val="00C1635F"/>
    <w:rsid w:val="00C251F6"/>
    <w:rsid w:val="00C342F7"/>
    <w:rsid w:val="00C7171B"/>
    <w:rsid w:val="00C7453D"/>
    <w:rsid w:val="00CC777B"/>
    <w:rsid w:val="00D06610"/>
    <w:rsid w:val="00D226DA"/>
    <w:rsid w:val="00D6412F"/>
    <w:rsid w:val="00DD3894"/>
    <w:rsid w:val="00E07985"/>
    <w:rsid w:val="00E46698"/>
    <w:rsid w:val="00E54C39"/>
    <w:rsid w:val="00E56F34"/>
    <w:rsid w:val="00EB42A2"/>
    <w:rsid w:val="00EE76C6"/>
    <w:rsid w:val="00F07729"/>
    <w:rsid w:val="00F13036"/>
    <w:rsid w:val="00F13043"/>
    <w:rsid w:val="00F320B8"/>
    <w:rsid w:val="00F40638"/>
    <w:rsid w:val="00F719FC"/>
    <w:rsid w:val="00F97474"/>
    <w:rsid w:val="00FA5250"/>
    <w:rsid w:val="00FD0E48"/>
    <w:rsid w:val="00FD24ED"/>
    <w:rsid w:val="00FD6043"/>
    <w:rsid w:val="00FE11F8"/>
    <w:rsid w:val="00FF3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lv-LV"/>
    </w:rPr>
  </w:style>
  <w:style w:type="paragraph" w:styleId="Heading3">
    <w:name w:val="heading 3"/>
    <w:basedOn w:val="Normal"/>
    <w:link w:val="Heading3Char"/>
    <w:uiPriority w:val="9"/>
    <w:qFormat/>
    <w:rsid w:val="00692A7D"/>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6085"/>
    <w:rPr>
      <w:b/>
      <w:bCs/>
    </w:rPr>
  </w:style>
  <w:style w:type="paragraph" w:styleId="Header">
    <w:name w:val="header"/>
    <w:basedOn w:val="Normal"/>
    <w:link w:val="HeaderChar"/>
    <w:uiPriority w:val="99"/>
    <w:unhideWhenUsed/>
    <w:rsid w:val="00F40638"/>
    <w:pPr>
      <w:tabs>
        <w:tab w:val="center" w:pos="4153"/>
        <w:tab w:val="right" w:pos="8306"/>
      </w:tabs>
    </w:pPr>
    <w:rPr>
      <w:lang/>
    </w:rPr>
  </w:style>
  <w:style w:type="character" w:customStyle="1" w:styleId="HeaderChar">
    <w:name w:val="Header Char"/>
    <w:link w:val="Header"/>
    <w:uiPriority w:val="99"/>
    <w:rsid w:val="00F40638"/>
    <w:rPr>
      <w:sz w:val="22"/>
      <w:szCs w:val="22"/>
      <w:lang w:eastAsia="en-US"/>
    </w:rPr>
  </w:style>
  <w:style w:type="paragraph" w:styleId="Footer">
    <w:name w:val="footer"/>
    <w:basedOn w:val="Normal"/>
    <w:link w:val="FooterChar"/>
    <w:uiPriority w:val="99"/>
    <w:unhideWhenUsed/>
    <w:rsid w:val="00F40638"/>
    <w:pPr>
      <w:tabs>
        <w:tab w:val="center" w:pos="4153"/>
        <w:tab w:val="right" w:pos="8306"/>
      </w:tabs>
    </w:pPr>
    <w:rPr>
      <w:lang/>
    </w:rPr>
  </w:style>
  <w:style w:type="character" w:customStyle="1" w:styleId="FooterChar">
    <w:name w:val="Footer Char"/>
    <w:link w:val="Footer"/>
    <w:uiPriority w:val="99"/>
    <w:rsid w:val="00F40638"/>
    <w:rPr>
      <w:sz w:val="22"/>
      <w:szCs w:val="22"/>
      <w:lang w:eastAsia="en-US"/>
    </w:rPr>
  </w:style>
  <w:style w:type="paragraph" w:styleId="BodyText">
    <w:name w:val="Body Text"/>
    <w:basedOn w:val="Normal"/>
    <w:link w:val="BodyTextChar"/>
    <w:rsid w:val="00C251F6"/>
    <w:pPr>
      <w:spacing w:after="0" w:line="240" w:lineRule="auto"/>
      <w:jc w:val="both"/>
    </w:pPr>
    <w:rPr>
      <w:rFonts w:ascii="Times New Roman" w:eastAsia="Times New Roman" w:hAnsi="Times New Roman"/>
      <w:sz w:val="26"/>
      <w:szCs w:val="20"/>
      <w:lang w:eastAsia="lv-LV"/>
    </w:rPr>
  </w:style>
  <w:style w:type="character" w:customStyle="1" w:styleId="BodyTextChar">
    <w:name w:val="Body Text Char"/>
    <w:basedOn w:val="DefaultParagraphFont"/>
    <w:link w:val="BodyText"/>
    <w:rsid w:val="00C251F6"/>
    <w:rPr>
      <w:rFonts w:ascii="Times New Roman" w:eastAsia="Times New Roman" w:hAnsi="Times New Roman"/>
      <w:sz w:val="26"/>
    </w:rPr>
  </w:style>
  <w:style w:type="paragraph" w:customStyle="1" w:styleId="ListParagraph2">
    <w:name w:val="List Paragraph2"/>
    <w:rsid w:val="00C251F6"/>
    <w:pPr>
      <w:ind w:left="720"/>
    </w:pPr>
    <w:rPr>
      <w:rFonts w:ascii="Times New Roman" w:eastAsia="Times New Roman" w:hAnsi="Times New Roman"/>
      <w:color w:val="000000"/>
      <w:sz w:val="24"/>
      <w:szCs w:val="24"/>
      <w:lang w:val="lv-LV" w:eastAsia="lv-LV"/>
    </w:rPr>
  </w:style>
  <w:style w:type="character" w:customStyle="1" w:styleId="Heading3Char">
    <w:name w:val="Heading 3 Char"/>
    <w:basedOn w:val="DefaultParagraphFont"/>
    <w:link w:val="Heading3"/>
    <w:uiPriority w:val="9"/>
    <w:rsid w:val="00692A7D"/>
    <w:rPr>
      <w:rFonts w:ascii="Times New Roman" w:eastAsia="Times New Roman" w:hAnsi="Times New Roman"/>
      <w:b/>
      <w:bCs/>
      <w:sz w:val="27"/>
      <w:szCs w:val="27"/>
    </w:rPr>
  </w:style>
  <w:style w:type="paragraph" w:styleId="Index1">
    <w:name w:val="index 1"/>
    <w:basedOn w:val="Normal"/>
    <w:next w:val="Normal"/>
    <w:autoRedefine/>
    <w:uiPriority w:val="99"/>
    <w:unhideWhenUsed/>
    <w:rsid w:val="00DD3894"/>
    <w:pPr>
      <w:spacing w:after="0" w:line="240" w:lineRule="auto"/>
      <w:jc w:val="both"/>
    </w:pPr>
    <w:rPr>
      <w:rFonts w:ascii="Times New Roman" w:eastAsia="Times New Roman" w:hAnsi="Times New Roman"/>
      <w:sz w:val="24"/>
      <w:szCs w:val="24"/>
      <w:lang w:eastAsia="lv-LV"/>
    </w:rPr>
  </w:style>
  <w:style w:type="character" w:customStyle="1" w:styleId="apple-converted-space">
    <w:name w:val="apple-converted-space"/>
    <w:rsid w:val="00DD3894"/>
  </w:style>
  <w:style w:type="character" w:styleId="Emphasis">
    <w:name w:val="Emphasis"/>
    <w:uiPriority w:val="20"/>
    <w:qFormat/>
    <w:rsid w:val="00DD3894"/>
    <w:rPr>
      <w:i/>
      <w:iCs/>
    </w:rPr>
  </w:style>
  <w:style w:type="paragraph" w:styleId="ListParagraph">
    <w:name w:val="List Paragraph"/>
    <w:basedOn w:val="Normal"/>
    <w:uiPriority w:val="34"/>
    <w:qFormat/>
    <w:rsid w:val="00F97474"/>
    <w:pPr>
      <w:ind w:left="720"/>
      <w:contextualSpacing/>
    </w:pPr>
    <w:rPr>
      <w:rFonts w:eastAsia="Times New Roman"/>
      <w:lang w:eastAsia="lv-LV"/>
    </w:rPr>
  </w:style>
  <w:style w:type="character" w:styleId="Hyperlink">
    <w:name w:val="Hyperlink"/>
    <w:rsid w:val="001D3380"/>
    <w:rPr>
      <w:color w:val="0000FF"/>
      <w:u w:val="single"/>
    </w:rPr>
  </w:style>
  <w:style w:type="paragraph" w:customStyle="1" w:styleId="RakstzRakstz3CharChar">
    <w:name w:val=" Rakstz. Rakstz.3 Char Char"/>
    <w:basedOn w:val="Normal"/>
    <w:next w:val="BlockText"/>
    <w:semiHidden/>
    <w:rsid w:val="00C1635F"/>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C1635F"/>
    <w:pPr>
      <w:spacing w:after="120"/>
      <w:ind w:left="1440" w:right="1440"/>
    </w:pPr>
  </w:style>
</w:styles>
</file>

<file path=word/webSettings.xml><?xml version="1.0" encoding="utf-8"?>
<w:webSettings xmlns:r="http://schemas.openxmlformats.org/officeDocument/2006/relationships" xmlns:w="http://schemas.openxmlformats.org/wordprocessingml/2006/main">
  <w:divs>
    <w:div w:id="12327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7.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61A2-3EE0-4FA4-A8E8-C0974C23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7992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Links>
    <vt:vector size="6" baseType="variant">
      <vt:variant>
        <vt:i4>4194387</vt:i4>
      </vt:variant>
      <vt:variant>
        <vt:i4>0</vt:i4>
      </vt:variant>
      <vt:variant>
        <vt:i4>0</vt:i4>
      </vt:variant>
      <vt:variant>
        <vt:i4>5</vt:i4>
      </vt:variant>
      <vt:variant>
        <vt:lpwstr>http://7.st/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Normunds Orols</cp:lastModifiedBy>
  <cp:revision>2</cp:revision>
  <dcterms:created xsi:type="dcterms:W3CDTF">2014-11-27T11:09:00Z</dcterms:created>
  <dcterms:modified xsi:type="dcterms:W3CDTF">2014-11-27T11:09:00Z</dcterms:modified>
</cp:coreProperties>
</file>