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margin">
              <wp:posOffset>-229866</wp:posOffset>
            </wp:positionH>
            <wp:positionV relativeFrom="paragraph">
              <wp:posOffset>-5711</wp:posOffset>
            </wp:positionV>
            <wp:extent cx="1371600" cy="143002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71600" cy="1430020"/>
                    </a:xfrm>
                    <a:prstGeom prst="rect"/>
                    <a:ln/>
                  </pic:spPr>
                </pic:pic>
              </a:graphicData>
            </a:graphic>
          </wp:anchor>
        </w:drawing>
      </w:r>
    </w:p>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APSTIPRINĀTS</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0" w:line="240" w:lineRule="auto"/>
        <w:contextualSpacing w:val="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 Latvijas Universitātes</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0" w:line="240" w:lineRule="auto"/>
        <w:contextualSpacing w:val="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Akadēmiskā centra attīstības programmas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0" w:line="240" w:lineRule="auto"/>
        <w:contextualSpacing w:val="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iepirkumu komisijas</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2018. gada 28</w:t>
      </w:r>
      <w:r w:rsidDel="00000000" w:rsidR="00000000" w:rsidRPr="00000000">
        <w:rPr>
          <w:rFonts w:ascii="Times New Roman" w:cs="Times New Roman" w:eastAsia="Times New Roman" w:hAnsi="Times New Roman"/>
          <w:rtl w:val="0"/>
        </w:rPr>
        <w:t xml:space="preserve">.februāra lēmumu</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(Protokols Nr. 1)</w:t>
      </w:r>
    </w:p>
    <w:p w:rsidR="00000000" w:rsidDel="00000000" w:rsidP="00000000" w:rsidRDefault="00000000" w:rsidRPr="00000000" w14:paraId="00000007">
      <w:pPr>
        <w:spacing w:after="0" w:line="240" w:lineRule="auto"/>
        <w:contextualSpacing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1"/>
        <w:spacing w:after="0" w:line="240" w:lineRule="auto"/>
        <w:contextualSpacing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1"/>
        <w:tabs>
          <w:tab w:val="left" w:pos="2565"/>
          <w:tab w:val="center" w:pos="5040"/>
        </w:tabs>
        <w:spacing w:after="0" w:line="240" w:lineRule="auto"/>
        <w:ind w:right="-1774"/>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1"/>
        <w:tabs>
          <w:tab w:val="left" w:pos="2565"/>
          <w:tab w:val="center" w:pos="5040"/>
        </w:tabs>
        <w:spacing w:after="0" w:line="240" w:lineRule="auto"/>
        <w:ind w:right="-1774"/>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line="24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0" w:line="24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after="0"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Latvijas Universitātes</w:t>
      </w:r>
      <w:r w:rsidDel="00000000" w:rsidR="00000000" w:rsidRPr="00000000">
        <w:rPr>
          <w:rtl w:val="0"/>
        </w:rPr>
      </w:r>
    </w:p>
    <w:p w:rsidR="00000000" w:rsidDel="00000000" w:rsidP="00000000" w:rsidRDefault="00000000" w:rsidRPr="00000000" w14:paraId="0000000F">
      <w:pPr>
        <w:spacing w:after="0"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atklāta konkursa</w:t>
      </w:r>
      <w:r w:rsidDel="00000000" w:rsidR="00000000" w:rsidRPr="00000000">
        <w:rPr>
          <w:rtl w:val="0"/>
        </w:rPr>
      </w:r>
    </w:p>
    <w:p w:rsidR="00000000" w:rsidDel="00000000" w:rsidP="00000000" w:rsidRDefault="00000000" w:rsidRPr="00000000" w14:paraId="00000010">
      <w:pPr>
        <w:spacing w:after="0" w:line="240" w:lineRule="auto"/>
        <w:contextualSpacing w:val="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b w:val="1"/>
          <w:sz w:val="32"/>
          <w:szCs w:val="32"/>
          <w:rtl w:val="0"/>
        </w:rPr>
        <w:t xml:space="preserve">„Laboratoriju iekārtu pētniecībai un studiju programmām piegāde un uzstādīšana”</w:t>
      </w:r>
      <w:r w:rsidDel="00000000" w:rsidR="00000000" w:rsidRPr="00000000">
        <w:rPr>
          <w:rFonts w:ascii="Times New Roman" w:cs="Times New Roman" w:eastAsia="Times New Roman" w:hAnsi="Times New Roman"/>
          <w:i w:val="1"/>
          <w:sz w:val="32"/>
          <w:szCs w:val="32"/>
          <w:rtl w:val="0"/>
        </w:rPr>
        <w:t xml:space="preserve"> </w:t>
      </w:r>
    </w:p>
    <w:p w:rsidR="00000000" w:rsidDel="00000000" w:rsidP="00000000" w:rsidRDefault="00000000" w:rsidRPr="00000000" w14:paraId="00000011">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1"/>
        <w:keepLines w:val="1"/>
        <w:spacing w:after="0" w:before="40" w:lineRule="auto"/>
        <w:contextualSpacing w:val="0"/>
        <w:jc w:val="center"/>
        <w:rPr>
          <w:rFonts w:ascii="Times New Roman" w:cs="Times New Roman" w:eastAsia="Times New Roman" w:hAnsi="Times New Roman"/>
          <w:b w:val="1"/>
          <w:color w:val="272727"/>
          <w:sz w:val="28"/>
          <w:szCs w:val="28"/>
        </w:rPr>
      </w:pPr>
      <w:r w:rsidDel="00000000" w:rsidR="00000000" w:rsidRPr="00000000">
        <w:rPr>
          <w:rFonts w:ascii="Times New Roman" w:cs="Times New Roman" w:eastAsia="Times New Roman" w:hAnsi="Times New Roman"/>
          <w:b w:val="1"/>
          <w:color w:val="272727"/>
          <w:sz w:val="28"/>
          <w:szCs w:val="28"/>
          <w:rtl w:val="0"/>
        </w:rPr>
        <w:t xml:space="preserve">N    O    L    I    K    U    M    S</w:t>
      </w:r>
    </w:p>
    <w:p w:rsidR="00000000" w:rsidDel="00000000" w:rsidP="00000000" w:rsidRDefault="00000000" w:rsidRPr="00000000" w14:paraId="00000013">
      <w:pPr>
        <w:spacing w:after="0" w:line="240"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Iepirkuma identifikācijas numurs: </w:t>
      </w:r>
    </w:p>
    <w:p w:rsidR="00000000" w:rsidDel="00000000" w:rsidP="00000000" w:rsidRDefault="00000000" w:rsidRPr="00000000" w14:paraId="00000015">
      <w:pPr>
        <w:spacing w:after="0"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LU </w:t>
      </w:r>
      <w:r w:rsidDel="00000000" w:rsidR="00000000" w:rsidRPr="00000000">
        <w:rPr>
          <w:rFonts w:ascii="Times New Roman" w:cs="Times New Roman" w:eastAsia="Times New Roman" w:hAnsi="Times New Roman"/>
          <w:b w:val="1"/>
          <w:color w:val="000000"/>
          <w:sz w:val="28"/>
          <w:szCs w:val="28"/>
          <w:rtl w:val="0"/>
        </w:rPr>
        <w:t xml:space="preserve">2018/19_ERAF</w:t>
      </w:r>
      <w:r w:rsidDel="00000000" w:rsidR="00000000" w:rsidRPr="00000000">
        <w:rPr>
          <w:rtl w:val="0"/>
        </w:rPr>
      </w:r>
    </w:p>
    <w:p w:rsidR="00000000" w:rsidDel="00000000" w:rsidP="00000000" w:rsidRDefault="00000000" w:rsidRPr="00000000" w14:paraId="00000016">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Rīga, 2018</w:t>
      </w:r>
      <w:r w:rsidDel="00000000" w:rsidR="00000000" w:rsidRPr="00000000">
        <w:br w:type="page"/>
      </w:r>
      <w:r w:rsidDel="00000000" w:rsidR="00000000" w:rsidRPr="00000000">
        <w:rPr>
          <w:rFonts w:ascii="Times New Roman" w:cs="Times New Roman" w:eastAsia="Times New Roman" w:hAnsi="Times New Roman"/>
          <w:b w:val="1"/>
          <w:rtl w:val="0"/>
        </w:rPr>
        <w:t xml:space="preserve">I VISPĀRĪGA INFORMĀCIJA</w:t>
      </w:r>
      <w:r w:rsidDel="00000000" w:rsidR="00000000" w:rsidRPr="00000000">
        <w:rPr>
          <w:rtl w:val="0"/>
        </w:rPr>
      </w:r>
    </w:p>
    <w:p w:rsidR="00000000" w:rsidDel="00000000" w:rsidP="00000000" w:rsidRDefault="00000000" w:rsidRPr="00000000" w14:paraId="0000002C">
      <w:pPr>
        <w:numPr>
          <w:ilvl w:val="1"/>
          <w:numId w:val="6"/>
        </w:numPr>
        <w:spacing w:after="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identifikācijas numurs.: </w:t>
      </w:r>
      <w:r w:rsidDel="00000000" w:rsidR="00000000" w:rsidRPr="00000000">
        <w:rPr>
          <w:rFonts w:ascii="Times New Roman" w:cs="Times New Roman" w:eastAsia="Times New Roman" w:hAnsi="Times New Roman"/>
          <w:rtl w:val="0"/>
        </w:rPr>
        <w:t xml:space="preserve">LU </w:t>
      </w:r>
      <w:r w:rsidDel="00000000" w:rsidR="00000000" w:rsidRPr="00000000">
        <w:rPr>
          <w:rFonts w:ascii="Times New Roman" w:cs="Times New Roman" w:eastAsia="Times New Roman" w:hAnsi="Times New Roman"/>
          <w:color w:val="000000"/>
          <w:rtl w:val="0"/>
        </w:rPr>
        <w:t xml:space="preserve">2018/19_ERAF</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numPr>
          <w:ilvl w:val="1"/>
          <w:numId w:val="6"/>
        </w:numPr>
        <w:spacing w:after="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procedūras veids:</w:t>
      </w:r>
      <w:r w:rsidDel="00000000" w:rsidR="00000000" w:rsidRPr="00000000">
        <w:rPr>
          <w:rFonts w:ascii="Times New Roman" w:cs="Times New Roman" w:eastAsia="Times New Roman" w:hAnsi="Times New Roman"/>
          <w:rtl w:val="0"/>
        </w:rPr>
        <w:t xml:space="preserve"> atklāts konkurss saskaņā ar Publisko iepirkumu likumu (turpmāk tekstā – PIL), 28.02.2017. Ministru kabineta noteikumiem Nr.107 „Iepirkuma procedūru un metu konkursu norises kārtība” (turpmāk tekstā -  MK noteikumi Nr. 107) un citos publisko iepirkumu regulējošajos normatīvajos aktos noteiktajam (turpmāk tekstā – Iepirkums).</w:t>
      </w:r>
    </w:p>
    <w:p w:rsidR="00000000" w:rsidDel="00000000" w:rsidP="00000000" w:rsidRDefault="00000000" w:rsidRPr="00000000" w14:paraId="0000002E">
      <w:pPr>
        <w:numPr>
          <w:ilvl w:val="1"/>
          <w:numId w:val="6"/>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Ziņas par pasūtītāju, un kontaktpersona:</w:t>
      </w:r>
      <w:r w:rsidDel="00000000" w:rsidR="00000000" w:rsidRPr="00000000">
        <w:rPr>
          <w:rtl w:val="0"/>
        </w:rPr>
      </w:r>
    </w:p>
    <w:p w:rsidR="00000000" w:rsidDel="00000000" w:rsidP="00000000" w:rsidRDefault="00000000" w:rsidRPr="00000000" w14:paraId="0000002F">
      <w:pPr>
        <w:numPr>
          <w:ilvl w:val="2"/>
          <w:numId w:val="6"/>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567" w:hanging="567"/>
        <w:contextualSpacing w:val="0"/>
        <w:jc w:val="both"/>
        <w:rPr/>
      </w:pPr>
      <w:r w:rsidDel="00000000" w:rsidR="00000000" w:rsidRPr="00000000">
        <w:rPr>
          <w:rFonts w:ascii="Times New Roman" w:cs="Times New Roman" w:eastAsia="Times New Roman" w:hAnsi="Times New Roman"/>
          <w:b w:val="1"/>
          <w:rtl w:val="0"/>
        </w:rPr>
        <w:t xml:space="preserve">Pasūtītājs:</w:t>
      </w:r>
      <w:r w:rsidDel="00000000" w:rsidR="00000000" w:rsidRPr="00000000">
        <w:rPr>
          <w:rFonts w:ascii="Times New Roman" w:cs="Times New Roman" w:eastAsia="Times New Roman" w:hAnsi="Times New Roman"/>
          <w:rtl w:val="0"/>
        </w:rPr>
        <w:t xml:space="preserve"> Latvijas Universitāte (turpmāk tekstā – LU vai Pasūtītājs)</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1287" w:hanging="567"/>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Pasūtītāja rekvizīti: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0" w:line="240" w:lineRule="auto"/>
        <w:ind w:left="128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Reģ.Nr. Izglītības un zinātnes ministrijas (IZM) reģistrā: 3341000218</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0" w:line="240" w:lineRule="auto"/>
        <w:ind w:left="1287" w:hanging="567"/>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PVN maksātāja Reģ. Nr.: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LV90000076669</w:t>
      </w:r>
      <w:r w:rsidDel="00000000" w:rsidR="00000000" w:rsidRPr="00000000">
        <w:rPr>
          <w:rtl w:val="0"/>
        </w:rPr>
      </w:r>
    </w:p>
    <w:p w:rsidR="00000000" w:rsidDel="00000000" w:rsidP="00000000" w:rsidRDefault="00000000" w:rsidRPr="00000000" w14:paraId="00000033">
      <w:pPr>
        <w:spacing w:after="0" w:line="240" w:lineRule="auto"/>
        <w:ind w:left="128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Adrese: Jelgavas ielā 1, 718.kabinetā, Rīgā, LV-1004</w:t>
      </w:r>
    </w:p>
    <w:p w:rsidR="00000000" w:rsidDel="00000000" w:rsidP="00000000" w:rsidRDefault="00000000" w:rsidRPr="00000000" w14:paraId="00000034">
      <w:pPr>
        <w:spacing w:after="0" w:line="240" w:lineRule="auto"/>
        <w:ind w:left="128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Tālruņa Nr.: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+ 371 67033949</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0" w:line="240" w:lineRule="auto"/>
        <w:ind w:left="1287" w:hanging="567"/>
        <w:contextualSpacing w:val="0"/>
        <w:jc w:val="both"/>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Tīmekļvietne: </w:t>
      </w:r>
      <w:hyperlink r:id="rId7">
        <w:r w:rsidDel="00000000" w:rsidR="00000000" w:rsidRPr="00000000">
          <w:rPr>
            <w:rFonts w:ascii="Times New Roman" w:cs="Times New Roman" w:eastAsia="Times New Roman" w:hAnsi="Times New Roman"/>
            <w:color w:val="0000ff"/>
            <w:u w:val="single"/>
            <w:rtl w:val="0"/>
          </w:rPr>
          <w:t xml:space="preserve">www.lu.lv</w:t>
        </w:r>
      </w:hyperlink>
      <w:r w:rsidDel="00000000" w:rsidR="00000000" w:rsidRPr="00000000">
        <w:rPr>
          <w:rtl w:val="0"/>
        </w:rPr>
      </w:r>
    </w:p>
    <w:p w:rsidR="00000000" w:rsidDel="00000000" w:rsidP="00000000" w:rsidRDefault="00000000" w:rsidRPr="00000000" w14:paraId="00000036">
      <w:pPr>
        <w:widowControl w:val="0"/>
        <w:spacing w:after="0" w:before="120" w:line="240" w:lineRule="auto"/>
        <w:ind w:left="1287" w:hanging="567"/>
        <w:contextualSpacing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Darba laiks: </w:t>
      </w:r>
    </w:p>
    <w:p w:rsidR="00000000" w:rsidDel="00000000" w:rsidP="00000000" w:rsidRDefault="00000000" w:rsidRPr="00000000" w14:paraId="00000037">
      <w:pPr>
        <w:widowControl w:val="0"/>
        <w:spacing w:after="0" w:line="240" w:lineRule="auto"/>
        <w:ind w:left="1287" w:hanging="567"/>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Darba dienās no plkst. 8.30 līdz plkst.17.00</w:t>
      </w:r>
    </w:p>
    <w:p w:rsidR="00000000" w:rsidDel="00000000" w:rsidP="00000000" w:rsidRDefault="00000000" w:rsidRPr="00000000" w14:paraId="00000038">
      <w:pPr>
        <w:widowControl w:val="0"/>
        <w:spacing w:after="0" w:line="240" w:lineRule="auto"/>
        <w:ind w:left="1287" w:hanging="567"/>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Pārtraukums no 12.00 līdz 12.30</w:t>
      </w:r>
    </w:p>
    <w:p w:rsidR="00000000" w:rsidDel="00000000" w:rsidP="00000000" w:rsidRDefault="00000000" w:rsidRPr="00000000" w14:paraId="00000039">
      <w:pPr>
        <w:numPr>
          <w:ilvl w:val="2"/>
          <w:numId w:val="6"/>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b w:val="1"/>
          <w:rtl w:val="0"/>
        </w:rPr>
        <w:t xml:space="preserve">Pasūtītāja kontaktpersona Iepirkumā:</w:t>
      </w:r>
      <w:r w:rsidDel="00000000" w:rsidR="00000000" w:rsidRPr="00000000">
        <w:rPr>
          <w:rFonts w:ascii="Times New Roman" w:cs="Times New Roman" w:eastAsia="Times New Roman" w:hAnsi="Times New Roman"/>
          <w:rtl w:val="0"/>
        </w:rPr>
        <w:t xml:space="preserve"> Sintija Sīmane, LU Akadēmiskā centra attīstības programma juriste, tālrunis + 371 67033949, e-pasts: </w:t>
      </w:r>
      <w:hyperlink r:id="rId8">
        <w:r w:rsidDel="00000000" w:rsidR="00000000" w:rsidRPr="00000000">
          <w:rPr>
            <w:rFonts w:ascii="Times New Roman" w:cs="Times New Roman" w:eastAsia="Times New Roman" w:hAnsi="Times New Roman"/>
            <w:color w:val="0000ff"/>
            <w:u w:val="single"/>
            <w:rtl w:val="0"/>
          </w:rPr>
          <w:t xml:space="preserve">acap-iepirkumi@</w:t>
        </w:r>
      </w:hyperlink>
      <w:r w:rsidDel="00000000" w:rsidR="00000000" w:rsidRPr="00000000">
        <w:rPr>
          <w:rFonts w:ascii="Times New Roman" w:cs="Times New Roman" w:eastAsia="Times New Roman" w:hAnsi="Times New Roman"/>
          <w:color w:val="0000ff"/>
          <w:u w:val="single"/>
          <w:rtl w:val="0"/>
        </w:rPr>
        <w:t xml:space="preserve">lu.lv</w:t>
      </w:r>
      <w:r w:rsidDel="00000000" w:rsidR="00000000" w:rsidRPr="00000000">
        <w:rPr>
          <w:rFonts w:ascii="Times New Roman" w:cs="Times New Roman" w:eastAsia="Times New Roman" w:hAnsi="Times New Roman"/>
          <w:rtl w:val="0"/>
        </w:rPr>
        <w:t xml:space="preserve">. Kontaktpersona Iepirkuma norises laikā sniedz tikai organizatorisku informāciju.</w:t>
      </w:r>
      <w:r w:rsidDel="00000000" w:rsidR="00000000" w:rsidRPr="00000000">
        <w:rPr>
          <w:rtl w:val="0"/>
        </w:rPr>
      </w:r>
    </w:p>
    <w:p w:rsidR="00000000" w:rsidDel="00000000" w:rsidP="00000000" w:rsidRDefault="00000000" w:rsidRPr="00000000" w14:paraId="0000003A">
      <w:pPr>
        <w:widowControl w:val="0"/>
        <w:numPr>
          <w:ilvl w:val="1"/>
          <w:numId w:val="6"/>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Komisija: </w:t>
      </w:r>
      <w:r w:rsidDel="00000000" w:rsidR="00000000" w:rsidRPr="00000000">
        <w:rPr>
          <w:rFonts w:ascii="Times New Roman" w:cs="Times New Roman" w:eastAsia="Times New Roman" w:hAnsi="Times New Roman"/>
          <w:rtl w:val="0"/>
        </w:rPr>
        <w:t xml:space="preserve">Iepirkumu veic ar 2017. gada 30. oktobra LU rektora rīkojumu Nr.1/333 “Par LU Akadēmiskā centra attīstības programmas iepirkumu komisijas sastāvu” izveidota LU Akadēmiskā centra attīstības programmas iepirkumu komisija (turpmāk tekstā – Komisija).</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tabs>
          <w:tab w:val="left" w:pos="-142"/>
        </w:tabs>
        <w:spacing w:after="240" w:before="240" w:line="24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INFORMĀCIJA PAR IEPIRKUMA PRIEKŠMETU</w:t>
      </w:r>
    </w:p>
    <w:p w:rsidR="00000000" w:rsidDel="00000000" w:rsidP="00000000" w:rsidRDefault="00000000" w:rsidRPr="00000000" w14:paraId="0000003C">
      <w:pPr>
        <w:numPr>
          <w:ilvl w:val="1"/>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priekšmets:</w:t>
      </w:r>
      <w:r w:rsidDel="00000000" w:rsidR="00000000" w:rsidRPr="00000000">
        <w:rPr>
          <w:rFonts w:ascii="Times New Roman" w:cs="Times New Roman" w:eastAsia="Times New Roman" w:hAnsi="Times New Roman"/>
          <w:rtl w:val="0"/>
        </w:rPr>
        <w:t xml:space="preserve"> Laboratoriju iekārtu pētniecībai un studiju programmām piegāde un uzstādīšana</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saskaņā ar šo nolikumu un tehnisko specifikāciju (nolikuma 1. pielikums “Tehniskās specifikācijas - Pretendenta tehniskais piedāvājums”). </w:t>
      </w:r>
    </w:p>
    <w:p w:rsidR="00000000" w:rsidDel="00000000" w:rsidP="00000000" w:rsidRDefault="00000000" w:rsidRPr="00000000" w14:paraId="0000003D">
      <w:pPr>
        <w:numPr>
          <w:ilvl w:val="1"/>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Galvenais CPV kods: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38000000-5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Laboratorijas, optiskās un precīzijas ierīces (izņemot brilles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numPr>
          <w:ilvl w:val="1"/>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Papildus CPV kodi: </w:t>
      </w:r>
      <w:r w:rsidDel="00000000" w:rsidR="00000000" w:rsidRPr="00000000">
        <w:rPr>
          <w:rFonts w:ascii="Times New Roman" w:cs="Times New Roman" w:eastAsia="Times New Roman" w:hAnsi="Times New Roman"/>
          <w:rtl w:val="0"/>
        </w:rPr>
        <w:t xml:space="preserve">atbilstoši nolikum 2.4. apakšpunktā norādītajam. </w:t>
      </w:r>
    </w:p>
    <w:p w:rsidR="00000000" w:rsidDel="00000000" w:rsidP="00000000" w:rsidRDefault="00000000" w:rsidRPr="00000000" w14:paraId="0000003F">
      <w:pPr>
        <w:numPr>
          <w:ilvl w:val="1"/>
          <w:numId w:val="7"/>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daļas:</w:t>
      </w:r>
      <w:r w:rsidDel="00000000" w:rsidR="00000000" w:rsidRPr="00000000">
        <w:rPr>
          <w:rFonts w:ascii="Times New Roman" w:cs="Times New Roman" w:eastAsia="Times New Roman" w:hAnsi="Times New Roman"/>
          <w:rtl w:val="0"/>
        </w:rPr>
        <w:t xml:space="preserve"> Iepirkuma priekšmets ir sadalīts šādās 49  (četrdesmit deviņās) Iepirkuma  daļās: </w:t>
      </w:r>
    </w:p>
    <w:p w:rsidR="00000000" w:rsidDel="00000000" w:rsidP="00000000" w:rsidRDefault="00000000" w:rsidRPr="00000000" w14:paraId="00000040">
      <w:pPr>
        <w:widowControl w:val="0"/>
        <w:spacing w:after="0" w:lineRule="auto"/>
        <w:ind w:left="360" w:firstLine="0"/>
        <w:contextualSpacing w:val="0"/>
        <w:jc w:val="right"/>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Tabula Nr.1</w:t>
      </w:r>
    </w:p>
    <w:tbl>
      <w:tblPr>
        <w:tblStyle w:val="Table1"/>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410"/>
        <w:gridCol w:w="4095"/>
        <w:tblGridChange w:id="0">
          <w:tblGrid>
            <w:gridCol w:w="567"/>
            <w:gridCol w:w="4410"/>
            <w:gridCol w:w="4095"/>
          </w:tblGrid>
        </w:tblGridChange>
      </w:tblGrid>
      <w:tr>
        <w:tc>
          <w:tcPr>
            <w:vAlign w:val="center"/>
          </w:tcPr>
          <w:p w:rsidR="00000000" w:rsidDel="00000000" w:rsidP="00000000" w:rsidRDefault="00000000" w:rsidRPr="00000000" w14:paraId="00000041">
            <w:pPr>
              <w:tabs>
                <w:tab w:val="left" w:pos="2835"/>
              </w:tabs>
              <w:ind w:left="-12" w:firstLine="0"/>
              <w:contextualSpacing w:val="0"/>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Nr.</w:t>
            </w:r>
          </w:p>
          <w:p w:rsidR="00000000" w:rsidDel="00000000" w:rsidP="00000000" w:rsidRDefault="00000000" w:rsidRPr="00000000" w14:paraId="00000042">
            <w:pPr>
              <w:tabs>
                <w:tab w:val="left" w:pos="2835"/>
              </w:tabs>
              <w:ind w:left="-12"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p.k.</w:t>
            </w:r>
          </w:p>
        </w:tc>
        <w:tc>
          <w:tcPr>
            <w:vAlign w:val="center"/>
          </w:tcPr>
          <w:p w:rsidR="00000000" w:rsidDel="00000000" w:rsidP="00000000" w:rsidRDefault="00000000" w:rsidRPr="00000000" w14:paraId="00000043">
            <w:pPr>
              <w:tabs>
                <w:tab w:val="left" w:pos="2835"/>
              </w:tabs>
              <w:ind w:left="142" w:right="29"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Iepirkuma priekšmeta daļas numurs un nosaukums</w:t>
            </w:r>
          </w:p>
        </w:tc>
        <w:tc>
          <w:tcPr>
            <w:vAlign w:val="center"/>
          </w:tcPr>
          <w:p w:rsidR="00000000" w:rsidDel="00000000" w:rsidP="00000000" w:rsidRDefault="00000000" w:rsidRPr="00000000" w14:paraId="00000044">
            <w:pPr>
              <w:ind w:left="113" w:right="139"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Papildus CPV kodi</w:t>
            </w:r>
          </w:p>
        </w:tc>
      </w:tr>
      <w:tr>
        <w:tc>
          <w:tcPr/>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46">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1.daļa “Tandēma kvadrupols ar universālu ievadīšanas mezglu komplektu, kas ļauj strādāt LC-MS/MS un GC-MS/MS režīmā</w:t>
            </w:r>
          </w:p>
        </w:tc>
        <w:tc>
          <w:tcPr/>
          <w:p w:rsidR="00000000" w:rsidDel="00000000" w:rsidP="00000000" w:rsidRDefault="00000000" w:rsidRPr="00000000" w14:paraId="00000047">
            <w:pPr>
              <w:ind w:left="113" w:right="139" w:firstLine="0"/>
              <w:contextualSpacing w:val="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38433100-0 (Masspektrometrs)</w:t>
            </w:r>
          </w:p>
          <w:p w:rsidR="00000000" w:rsidDel="00000000" w:rsidP="00000000" w:rsidRDefault="00000000" w:rsidRPr="00000000" w14:paraId="0000004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38432200-4 (Hromatogrāfi)</w:t>
            </w:r>
          </w:p>
          <w:p w:rsidR="00000000" w:rsidDel="00000000" w:rsidP="00000000" w:rsidRDefault="00000000" w:rsidRPr="00000000" w14:paraId="00000049">
            <w:pPr>
              <w:ind w:left="113" w:right="139" w:firstLine="0"/>
              <w:contextualSpacing w:val="0"/>
              <w:rPr>
                <w:rFonts w:ascii="Times New Roman" w:cs="Times New Roman" w:eastAsia="Times New Roman" w:hAnsi="Times New Roman"/>
                <w:color w:val="333333"/>
                <w:highlight w:val="white"/>
              </w:rPr>
            </w:pPr>
            <w:r w:rsidDel="00000000" w:rsidR="00000000" w:rsidRPr="00000000">
              <w:rPr>
                <w:rtl w:val="0"/>
              </w:rPr>
            </w:r>
          </w:p>
        </w:tc>
      </w:tr>
      <w:tr>
        <w:tc>
          <w:tcPr/>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B">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2.daļa “Mikroskopi ar statīvā integrētu digitālo kameru”</w:t>
            </w:r>
          </w:p>
        </w:tc>
        <w:tc>
          <w:tcPr/>
          <w:p w:rsidR="00000000" w:rsidDel="00000000" w:rsidP="00000000" w:rsidRDefault="00000000" w:rsidRPr="00000000" w14:paraId="0000004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38516000-5  (Monokulārie un/vai binokulārie saliktie gaismas mikroskopi)</w:t>
            </w:r>
          </w:p>
        </w:tc>
      </w:tr>
      <w:tr>
        <w:tc>
          <w:tcPr/>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3.daļa “Fotometrs automātiskai fosfora noteikšanai augsnē” </w:t>
            </w:r>
          </w:p>
        </w:tc>
        <w:tc>
          <w:tcPr/>
          <w:p w:rsidR="00000000" w:rsidDel="00000000" w:rsidP="00000000" w:rsidRDefault="00000000" w:rsidRPr="00000000" w14:paraId="0000004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50">
            <w:pPr>
              <w:ind w:left="113" w:right="139" w:firstLine="0"/>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tabs>
                <w:tab w:val="left" w:pos="2835"/>
              </w:tabs>
              <w:ind w:left="142" w:right="29" w:firstLine="0"/>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4.daļa “Paraugu mineralizācijas iekārta”</w:t>
            </w:r>
            <w:r w:rsidDel="00000000" w:rsidR="00000000" w:rsidRPr="00000000">
              <w:rPr>
                <w:rFonts w:ascii="Times New Roman" w:cs="Times New Roman" w:eastAsia="Times New Roman" w:hAnsi="Times New Roman"/>
                <w:i w:val="1"/>
                <w:rtl w:val="0"/>
              </w:rPr>
              <w:t xml:space="preserve"> </w:t>
            </w:r>
          </w:p>
        </w:tc>
        <w:tc>
          <w:tcPr/>
          <w:p w:rsidR="00000000" w:rsidDel="00000000" w:rsidP="00000000" w:rsidRDefault="00000000" w:rsidRPr="00000000" w14:paraId="00000053">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5">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5.daļa “Grunts tiešās un parastās bīdes sistēma”</w:t>
            </w:r>
          </w:p>
        </w:tc>
        <w:tc>
          <w:tcPr/>
          <w:p w:rsidR="00000000" w:rsidDel="00000000" w:rsidP="00000000" w:rsidRDefault="00000000" w:rsidRPr="00000000" w14:paraId="00000056">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8">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6.daļa “Lielas jaudas DPSS lāzers, gan citu lāzeru pumpēšanai, gan tiešiem eksperimentāliem mērījumiem” </w:t>
            </w:r>
          </w:p>
        </w:tc>
        <w:tc>
          <w:tcPr/>
          <w:p w:rsidR="00000000" w:rsidDel="00000000" w:rsidP="00000000" w:rsidRDefault="00000000" w:rsidRPr="00000000" w14:paraId="00000059">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38636100-3 (Lāzeri)</w:t>
            </w:r>
          </w:p>
          <w:p w:rsidR="00000000" w:rsidDel="00000000" w:rsidP="00000000" w:rsidRDefault="00000000" w:rsidRPr="00000000" w14:paraId="0000005A">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38636110-6 (Rūpnieciskie lāzeri.)</w:t>
            </w:r>
          </w:p>
        </w:tc>
      </w:tr>
      <w:tr>
        <w:tc>
          <w:tcPr/>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7.daļa “Elektriskās pretestības mērījumu iekārta”</w:t>
            </w:r>
          </w:p>
        </w:tc>
        <w:tc>
          <w:tcPr/>
          <w:p w:rsidR="00000000" w:rsidDel="00000000" w:rsidP="00000000" w:rsidRDefault="00000000" w:rsidRPr="00000000" w14:paraId="0000005D">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8.daļa “Gravimetrs”</w:t>
            </w:r>
          </w:p>
        </w:tc>
        <w:tc>
          <w:tcPr/>
          <w:p w:rsidR="00000000" w:rsidDel="00000000" w:rsidP="00000000" w:rsidRDefault="00000000" w:rsidRPr="00000000" w14:paraId="00000060">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38280000-1 (Gravimetrijas ierīces)</w:t>
            </w:r>
          </w:p>
        </w:tc>
      </w:tr>
      <w:tr>
        <w:tc>
          <w:tcPr/>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2">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9.daļa “Induktīvi saistītās plazmas trīskāršā kvadrupola masspektrometrs ICP-QQQ ar piederumiem”</w:t>
            </w:r>
          </w:p>
        </w:tc>
        <w:tc>
          <w:tcPr/>
          <w:p w:rsidR="00000000" w:rsidDel="00000000" w:rsidP="00000000" w:rsidRDefault="00000000" w:rsidRPr="00000000" w14:paraId="00000063">
            <w:pPr>
              <w:ind w:left="113" w:right="139" w:firstLine="0"/>
              <w:contextualSpacing w:val="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38433100-</w:t>
            </w:r>
            <w:r w:rsidDel="00000000" w:rsidR="00000000" w:rsidRPr="00000000">
              <w:rPr>
                <w:rFonts w:ascii="Times New Roman" w:cs="Times New Roman" w:eastAsia="Times New Roman" w:hAnsi="Times New Roman"/>
                <w:color w:val="000000"/>
                <w:highlight w:val="white"/>
                <w:rtl w:val="0"/>
              </w:rPr>
              <w:t xml:space="preserve">0 (Masspektrometrs</w:t>
            </w:r>
            <w:r w:rsidDel="00000000" w:rsidR="00000000" w:rsidRPr="00000000">
              <w:rPr>
                <w:rFonts w:ascii="Times New Roman" w:cs="Times New Roman" w:eastAsia="Times New Roman" w:hAnsi="Times New Roman"/>
                <w:color w:val="333333"/>
                <w:highlight w:val="white"/>
                <w:rtl w:val="0"/>
              </w:rPr>
              <w:t xml:space="preserve">)</w:t>
            </w:r>
          </w:p>
          <w:p w:rsidR="00000000" w:rsidDel="00000000" w:rsidP="00000000" w:rsidRDefault="00000000" w:rsidRPr="00000000" w14:paraId="00000064">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6">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10.daļa “Kriostats”</w:t>
            </w:r>
          </w:p>
        </w:tc>
        <w:tc>
          <w:tcPr/>
          <w:p w:rsidR="00000000" w:rsidDel="00000000" w:rsidP="00000000" w:rsidRDefault="00000000" w:rsidRPr="00000000" w14:paraId="00000067">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p w:rsidR="00000000" w:rsidDel="00000000" w:rsidP="00000000" w:rsidRDefault="00000000" w:rsidRPr="00000000" w14:paraId="0000006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tc>
      </w:tr>
      <w:tr>
        <w:tc>
          <w:tcPr/>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daļa “Termālās un redzamās gaismas kameras komplektā ar bezpilota lidaparātu”</w:t>
            </w:r>
          </w:p>
        </w:tc>
        <w:tc>
          <w:tcPr/>
          <w:p w:rsidR="00000000" w:rsidDel="00000000" w:rsidP="00000000" w:rsidRDefault="00000000" w:rsidRPr="00000000" w14:paraId="0000006B">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32333200-8 (Videokameras ar reprodukcijas ierīci)</w:t>
            </w:r>
          </w:p>
          <w:p w:rsidR="00000000" w:rsidDel="00000000" w:rsidP="00000000" w:rsidRDefault="00000000" w:rsidRPr="00000000" w14:paraId="0000006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32333000-6 (Video ierakstīšanas un reproducēšanas aparatūra)</w:t>
            </w:r>
          </w:p>
        </w:tc>
      </w:tr>
      <w:tr>
        <w:tc>
          <w:tcPr/>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E">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12.daļa “Paraugu žāvēšanas iekārtu komplekts”</w:t>
            </w:r>
          </w:p>
        </w:tc>
        <w:tc>
          <w:tcPr/>
          <w:p w:rsidR="00000000" w:rsidDel="00000000" w:rsidP="00000000" w:rsidRDefault="00000000" w:rsidRPr="00000000" w14:paraId="0000006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70">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2">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13.daļa “Moduļveida automātiskā transdermālās difūzijas sistēma”</w:t>
            </w:r>
          </w:p>
        </w:tc>
        <w:tc>
          <w:tcPr/>
          <w:p w:rsidR="00000000" w:rsidDel="00000000" w:rsidP="00000000" w:rsidRDefault="00000000" w:rsidRPr="00000000" w14:paraId="00000073">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74">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rPr>
          <w:trHeight w:val="440" w:hRule="atLeast"/>
        </w:trPr>
        <w:tc>
          <w:tcPr/>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14.daļa “Autosampleris kodolmagnētiskās rezonanses spektrometram”</w:t>
            </w:r>
          </w:p>
        </w:tc>
        <w:tc>
          <w:tcPr/>
          <w:p w:rsidR="00000000" w:rsidDel="00000000" w:rsidP="00000000" w:rsidRDefault="00000000" w:rsidRPr="00000000" w14:paraId="00000077">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7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15.daļa “Komplekts magnētisku mīkstu materiālu pētījumiem”</w:t>
            </w:r>
            <w:r w:rsidDel="00000000" w:rsidR="00000000" w:rsidRPr="00000000">
              <w:rPr>
                <w:rFonts w:ascii="Times New Roman" w:cs="Times New Roman" w:eastAsia="Times New Roman" w:hAnsi="Times New Roman"/>
                <w:i w:val="1"/>
                <w:color w:val="ff0000"/>
                <w:rtl w:val="0"/>
              </w:rPr>
              <w:t xml:space="preserve"> </w:t>
            </w:r>
            <w:r w:rsidDel="00000000" w:rsidR="00000000" w:rsidRPr="00000000">
              <w:rPr>
                <w:rtl w:val="0"/>
              </w:rPr>
            </w:r>
          </w:p>
        </w:tc>
        <w:tc>
          <w:tcPr/>
          <w:p w:rsidR="00000000" w:rsidDel="00000000" w:rsidP="00000000" w:rsidRDefault="00000000" w:rsidRPr="00000000" w14:paraId="0000007B">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7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E">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daļa “Temperatūras kontroles cirkulatori” </w:t>
            </w:r>
          </w:p>
        </w:tc>
        <w:tc>
          <w:tcPr/>
          <w:p w:rsidR="00000000" w:rsidDel="00000000" w:rsidP="00000000" w:rsidRDefault="00000000" w:rsidRPr="00000000" w14:paraId="0000007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80">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daļa “Iekārtas būvmateriālu un būvkonstrukciju siltumtehnisko parametru noteikšanai”</w:t>
            </w:r>
          </w:p>
        </w:tc>
        <w:tc>
          <w:tcPr/>
          <w:p w:rsidR="00000000" w:rsidDel="00000000" w:rsidP="00000000" w:rsidRDefault="00000000" w:rsidRPr="00000000" w14:paraId="00000083">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84">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6">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18.daļa “Ūdens tvaiku caurlaidības noteikšanas iekārta”</w:t>
            </w:r>
          </w:p>
        </w:tc>
        <w:tc>
          <w:tcPr/>
          <w:p w:rsidR="00000000" w:rsidDel="00000000" w:rsidP="00000000" w:rsidRDefault="00000000" w:rsidRPr="00000000" w14:paraId="00000087">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88">
            <w:pPr>
              <w:ind w:left="113" w:right="139" w:firstLine="0"/>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daļa “Uzlabojumu pakete micro PIV iekārtai”</w:t>
            </w:r>
          </w:p>
        </w:tc>
        <w:tc>
          <w:tcPr/>
          <w:p w:rsidR="00000000" w:rsidDel="00000000" w:rsidP="00000000" w:rsidRDefault="00000000" w:rsidRPr="00000000" w14:paraId="0000008B">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8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E">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daļa  “</w:t>
            </w:r>
            <w:r w:rsidDel="00000000" w:rsidR="00000000" w:rsidRPr="00000000">
              <w:rPr>
                <w:rFonts w:ascii="Times New Roman" w:cs="Times New Roman" w:eastAsia="Times New Roman" w:hAnsi="Times New Roman"/>
                <w:i w:val="1"/>
                <w:color w:val="00000a"/>
                <w:rtl w:val="0"/>
              </w:rPr>
              <w:t xml:space="preserve">BrukerOptics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FT-IS</w:t>
            </w:r>
            <w:r w:rsidDel="00000000" w:rsidR="00000000" w:rsidRPr="00000000">
              <w:rPr>
                <w:rFonts w:ascii="Times New Roman" w:cs="Times New Roman" w:eastAsia="Times New Roman" w:hAnsi="Times New Roman"/>
                <w:rtl w:val="0"/>
              </w:rPr>
              <w:t xml:space="preserve"> mikroskopa </w:t>
            </w:r>
            <w:r w:rsidDel="00000000" w:rsidR="00000000" w:rsidRPr="00000000">
              <w:rPr>
                <w:rFonts w:ascii="Times New Roman" w:cs="Times New Roman" w:eastAsia="Times New Roman" w:hAnsi="Times New Roman"/>
                <w:i w:val="1"/>
                <w:rtl w:val="0"/>
              </w:rPr>
              <w:t xml:space="preserve">Hyperion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2000</w:t>
            </w:r>
            <w:r w:rsidDel="00000000" w:rsidR="00000000" w:rsidRPr="00000000">
              <w:rPr>
                <w:rFonts w:ascii="Times New Roman" w:cs="Times New Roman" w:eastAsia="Times New Roman" w:hAnsi="Times New Roman"/>
                <w:rtl w:val="0"/>
              </w:rPr>
              <w:t xml:space="preserve"> papildinājumi”  </w:t>
            </w:r>
          </w:p>
        </w:tc>
        <w:tc>
          <w:tcPr/>
          <w:p w:rsidR="00000000" w:rsidDel="00000000" w:rsidP="00000000" w:rsidRDefault="00000000" w:rsidRPr="00000000" w14:paraId="0000008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90">
            <w:pPr>
              <w:ind w:left="113" w:right="139" w:firstLine="0"/>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daļa “Liofilizācijas sistēma”</w:t>
            </w:r>
          </w:p>
        </w:tc>
        <w:tc>
          <w:tcPr/>
          <w:p w:rsidR="00000000" w:rsidDel="00000000" w:rsidP="00000000" w:rsidRDefault="00000000" w:rsidRPr="00000000" w14:paraId="00000093">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42513100-6 (Saldēšanas iekārtas)</w:t>
            </w:r>
          </w:p>
        </w:tc>
      </w:tr>
      <w:tr>
        <w:tc>
          <w:tcPr/>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daļa  “Ultra augstefektīvā šķidruma hromatogrāfijas sistēma (UHPLC) ar kolonu komplektu”</w:t>
            </w:r>
          </w:p>
        </w:tc>
        <w:tc>
          <w:tcPr/>
          <w:p w:rsidR="00000000" w:rsidDel="00000000" w:rsidP="00000000" w:rsidRDefault="00000000" w:rsidRPr="00000000" w14:paraId="00000096">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38432200-4 (Hromatogrāfi)</w:t>
            </w:r>
          </w:p>
        </w:tc>
      </w:tr>
      <w:tr>
        <w:tc>
          <w:tcPr/>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daļa “Ultracentrifūga ar rotoru komplektu”</w:t>
            </w:r>
          </w:p>
        </w:tc>
        <w:tc>
          <w:tcPr/>
          <w:p w:rsidR="00000000" w:rsidDel="00000000" w:rsidP="00000000" w:rsidRDefault="00000000" w:rsidRPr="00000000" w14:paraId="00000099">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42931110-5 (Uz grīdas uzstādāmas centrifūgas)</w:t>
            </w:r>
          </w:p>
        </w:tc>
      </w:tr>
      <w:tr>
        <w:tc>
          <w:tcPr/>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daļa “Gāzu hromatogrāfs ar automātisko paraugu inžektoru un kolonu komplektu”</w:t>
            </w:r>
          </w:p>
        </w:tc>
        <w:tc>
          <w:tcPr/>
          <w:p w:rsidR="00000000" w:rsidDel="00000000" w:rsidP="00000000" w:rsidRDefault="00000000" w:rsidRPr="00000000" w14:paraId="0000009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38432200-4 (Hromatogrāfi)</w:t>
            </w:r>
          </w:p>
        </w:tc>
      </w:tr>
      <w:tr>
        <w:tc>
          <w:tcPr/>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daļa  “Noslēgta cikla bez šķidrā kriogena fizikālo īpašību mērīšanas iekārta”</w:t>
            </w:r>
          </w:p>
        </w:tc>
        <w:tc>
          <w:tcPr/>
          <w:p w:rsidR="00000000" w:rsidDel="00000000" w:rsidP="00000000" w:rsidRDefault="00000000" w:rsidRPr="00000000" w14:paraId="0000009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A0">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A2">
            <w:pPr>
              <w:tabs>
                <w:tab w:val="left" w:pos="2835"/>
              </w:tabs>
              <w:ind w:left="142" w:right="29" w:firstLine="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26.daļa “Diferenciāli skenējošais kalorimetrs”</w:t>
            </w:r>
          </w:p>
        </w:tc>
        <w:tc>
          <w:tcPr/>
          <w:p w:rsidR="00000000" w:rsidDel="00000000" w:rsidP="00000000" w:rsidRDefault="00000000" w:rsidRPr="00000000" w14:paraId="000000A3">
            <w:pPr>
              <w:ind w:left="113" w:right="139" w:firstLine="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38300000-8 (Mērinstrumenti)</w:t>
            </w:r>
          </w:p>
          <w:p w:rsidR="00000000" w:rsidDel="00000000" w:rsidP="00000000" w:rsidRDefault="00000000" w:rsidRPr="00000000" w14:paraId="000000A4">
            <w:pPr>
              <w:ind w:left="113" w:right="139" w:firstLine="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31000000-6 (Elektriskie mehānismi, aparāti, iekārtas un palīgmateriāli; apgaismojums)</w:t>
            </w:r>
          </w:p>
        </w:tc>
      </w:tr>
      <w:tr>
        <w:tc>
          <w:tcPr/>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6">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daļa “Šķidro paraugu ievadīšanas sistēma (IRMS iekārtā)”</w:t>
            </w:r>
          </w:p>
        </w:tc>
        <w:tc>
          <w:tcPr/>
          <w:p w:rsidR="00000000" w:rsidDel="00000000" w:rsidP="00000000" w:rsidRDefault="00000000" w:rsidRPr="00000000" w14:paraId="000000A7">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A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A">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daļa “Fotosintētiskās un transpirācijas intensitātes mērīšanas iekārta”</w:t>
            </w:r>
          </w:p>
        </w:tc>
        <w:tc>
          <w:tcPr/>
          <w:p w:rsidR="00000000" w:rsidDel="00000000" w:rsidP="00000000" w:rsidRDefault="00000000" w:rsidRPr="00000000" w14:paraId="000000AB">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rPr>
          <w:trHeight w:val="420" w:hRule="atLeast"/>
        </w:trPr>
        <w:tc>
          <w:tcPr/>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D">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daļa “Mikroviļņu plazmas atomu emisijas spektrometrs ar piederumiem”</w:t>
            </w:r>
          </w:p>
        </w:tc>
        <w:tc>
          <w:tcPr/>
          <w:p w:rsidR="00000000" w:rsidDel="00000000" w:rsidP="00000000" w:rsidRDefault="00000000" w:rsidRPr="00000000" w14:paraId="000000AE">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c>
          <w:tcPr/>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0">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daļa  “UV-Vis Spektrofotometrs (nanofotometrs)”  </w:t>
            </w:r>
          </w:p>
        </w:tc>
        <w:tc>
          <w:tcPr/>
          <w:p w:rsidR="00000000" w:rsidDel="00000000" w:rsidP="00000000" w:rsidRDefault="00000000" w:rsidRPr="00000000" w14:paraId="000000B1">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38433300-2 (Spektra analizators)</w:t>
            </w:r>
          </w:p>
          <w:p w:rsidR="00000000" w:rsidDel="00000000" w:rsidP="00000000" w:rsidRDefault="00000000" w:rsidRPr="00000000" w14:paraId="000000B2">
            <w:pPr>
              <w:ind w:left="113" w:right="139" w:firstLine="0"/>
              <w:contextualSpacing w:val="0"/>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4">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daļa. “Multiparametru zonde”</w:t>
            </w:r>
          </w:p>
        </w:tc>
        <w:tc>
          <w:tcPr/>
          <w:p w:rsidR="00000000" w:rsidDel="00000000" w:rsidP="00000000" w:rsidRDefault="00000000" w:rsidRPr="00000000" w14:paraId="000000B5">
            <w:pPr>
              <w:ind w:left="113" w:right="139" w:firstLine="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33141641-5 (Zondes)</w:t>
            </w:r>
            <w:r w:rsidDel="00000000" w:rsidR="00000000" w:rsidRPr="00000000">
              <w:rPr>
                <w:rtl w:val="0"/>
              </w:rPr>
            </w:r>
          </w:p>
        </w:tc>
      </w:tr>
      <w:tr>
        <w:tc>
          <w:tcPr/>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7">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daļa “Vājredzības korekcijā lietojamo līdzekļu pielaikošanas un demonstrācijas komplekts”</w:t>
            </w:r>
          </w:p>
        </w:tc>
        <w:tc>
          <w:tcPr/>
          <w:p w:rsidR="00000000" w:rsidDel="00000000" w:rsidP="00000000" w:rsidRDefault="00000000" w:rsidRPr="00000000" w14:paraId="000000B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39162200-7 (Mācību līdzekļi un ierīces)</w:t>
            </w:r>
            <w:r w:rsidDel="00000000" w:rsidR="00000000" w:rsidRPr="00000000">
              <w:rPr>
                <w:rtl w:val="0"/>
              </w:rPr>
            </w:r>
          </w:p>
          <w:p w:rsidR="00000000" w:rsidDel="00000000" w:rsidP="00000000" w:rsidRDefault="00000000" w:rsidRPr="00000000" w14:paraId="000000B9">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38624000-5 (Optiskie palīglīdzekļi)</w:t>
            </w:r>
          </w:p>
        </w:tc>
      </w:tr>
      <w:tr>
        <w:tc>
          <w:tcPr/>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B">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daļa “Netiešā oftalmoskopa simulators”</w:t>
            </w:r>
          </w:p>
        </w:tc>
        <w:tc>
          <w:tcPr/>
          <w:p w:rsidR="00000000" w:rsidDel="00000000" w:rsidP="00000000" w:rsidRDefault="00000000" w:rsidRPr="00000000" w14:paraId="000000B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39162200-7 (Mācību līdzekļi un ierīces)</w:t>
            </w:r>
            <w:r w:rsidDel="00000000" w:rsidR="00000000" w:rsidRPr="00000000">
              <w:rPr>
                <w:rtl w:val="0"/>
              </w:rPr>
            </w:r>
          </w:p>
        </w:tc>
      </w:tr>
      <w:tr>
        <w:tc>
          <w:tcPr/>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E">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daļa “Gaismas, krāsu un krāsu redzes novērtēšanas komplekts”</w:t>
            </w:r>
          </w:p>
        </w:tc>
        <w:tc>
          <w:tcPr/>
          <w:p w:rsidR="00000000" w:rsidDel="00000000" w:rsidP="00000000" w:rsidRDefault="00000000" w:rsidRPr="00000000" w14:paraId="000000B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c>
          <w:tcPr/>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1">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daļa “Optiskā koherentā tomogrāfijas sistēma acs struktūru novērtēšanai”</w:t>
            </w:r>
          </w:p>
        </w:tc>
        <w:tc>
          <w:tcPr/>
          <w:p w:rsidR="00000000" w:rsidDel="00000000" w:rsidP="00000000" w:rsidRDefault="00000000" w:rsidRPr="00000000" w14:paraId="000000C2">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c>
          <w:tcPr/>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4">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daļa “Acu kustību reģistrācijas un analīzes iekārta”</w:t>
            </w:r>
          </w:p>
        </w:tc>
        <w:tc>
          <w:tcPr/>
          <w:p w:rsidR="00000000" w:rsidDel="00000000" w:rsidP="00000000" w:rsidRDefault="00000000" w:rsidRPr="00000000" w14:paraId="000000C5">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c>
          <w:tcPr/>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7">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daļa “Komplekts eksperimentiem bioloģiskajā fizikā”</w:t>
            </w:r>
          </w:p>
        </w:tc>
        <w:tc>
          <w:tcPr/>
          <w:p w:rsidR="00000000" w:rsidDel="00000000" w:rsidP="00000000" w:rsidRDefault="00000000" w:rsidRPr="00000000" w14:paraId="000000C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p w:rsidR="00000000" w:rsidDel="00000000" w:rsidP="00000000" w:rsidRDefault="00000000" w:rsidRPr="00000000" w14:paraId="000000C9">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39162200-7 (Mācību līdzekļi un ierīces)</w:t>
            </w:r>
            <w:r w:rsidDel="00000000" w:rsidR="00000000" w:rsidRPr="00000000">
              <w:rPr>
                <w:rtl w:val="0"/>
              </w:rPr>
            </w:r>
          </w:p>
        </w:tc>
      </w:tr>
      <w:tr>
        <w:tc>
          <w:tcPr/>
          <w:p w:rsidR="00000000" w:rsidDel="00000000" w:rsidP="00000000" w:rsidRDefault="00000000" w:rsidRPr="00000000" w14:paraId="000000CA">
            <w:pPr>
              <w:numPr>
                <w:ilvl w:val="0"/>
                <w:numId w:val="2"/>
              </w:numP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B">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daļa “Iekārtu komplekts ekstemporāro ziežu pagatavošanai un ēterisko eļļu iegūšanai”</w:t>
            </w:r>
          </w:p>
        </w:tc>
        <w:tc>
          <w:tcPr/>
          <w:p w:rsidR="00000000" w:rsidDel="00000000" w:rsidP="00000000" w:rsidRDefault="00000000" w:rsidRPr="00000000" w14:paraId="000000CC">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c>
          <w:tcPr/>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E">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39.daļa “Biodrošības skapis (laminārs) šūnu kultūru laboratorijai ar aseptisku vakuuma atkritumu atsūkšanas iekārtu”</w:t>
            </w:r>
          </w:p>
        </w:tc>
        <w:tc>
          <w:tcPr/>
          <w:p w:rsidR="00000000" w:rsidDel="00000000" w:rsidP="00000000" w:rsidRDefault="00000000" w:rsidRPr="00000000" w14:paraId="000000C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tc>
      </w:tr>
      <w:tr>
        <w:tc>
          <w:tcPr/>
          <w:p w:rsidR="00000000" w:rsidDel="00000000" w:rsidP="00000000" w:rsidRDefault="00000000" w:rsidRPr="00000000" w14:paraId="000000D0">
            <w:pPr>
              <w:numPr>
                <w:ilvl w:val="0"/>
                <w:numId w:val="2"/>
              </w:numP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1">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daļa “Sekvenators”</w:t>
            </w:r>
          </w:p>
        </w:tc>
        <w:tc>
          <w:tcPr/>
          <w:p w:rsidR="00000000" w:rsidDel="00000000" w:rsidP="00000000" w:rsidRDefault="00000000" w:rsidRPr="00000000" w14:paraId="000000D2">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38434500-1 (Bioķīmiskie analizatori)</w:t>
            </w:r>
          </w:p>
        </w:tc>
      </w:tr>
      <w:tr>
        <w:tc>
          <w:tcPr/>
          <w:p w:rsidR="00000000" w:rsidDel="00000000" w:rsidP="00000000" w:rsidRDefault="00000000" w:rsidRPr="00000000" w14:paraId="000000D3">
            <w:pPr>
              <w:numPr>
                <w:ilvl w:val="0"/>
                <w:numId w:val="2"/>
              </w:numP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4">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daļa “Plūsmas citometrs ar attēlu iegūšanas iespēju”</w:t>
            </w:r>
          </w:p>
        </w:tc>
        <w:tc>
          <w:tcPr/>
          <w:p w:rsidR="00000000" w:rsidDel="00000000" w:rsidP="00000000" w:rsidRDefault="00000000" w:rsidRPr="00000000" w14:paraId="000000D5">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38434510-4 (Citometri)</w:t>
            </w:r>
          </w:p>
        </w:tc>
      </w:tr>
      <w:tr>
        <w:tc>
          <w:tcPr/>
          <w:p w:rsidR="00000000" w:rsidDel="00000000" w:rsidP="00000000" w:rsidRDefault="00000000" w:rsidRPr="00000000" w14:paraId="000000D6">
            <w:pPr>
              <w:numPr>
                <w:ilvl w:val="0"/>
                <w:numId w:val="2"/>
              </w:numP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7">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daļa “Iekārta proteīnu attīrīšanai”</w:t>
            </w:r>
          </w:p>
        </w:tc>
        <w:tc>
          <w:tcPr/>
          <w:p w:rsidR="00000000" w:rsidDel="00000000" w:rsidP="00000000" w:rsidRDefault="00000000" w:rsidRPr="00000000" w14:paraId="000000D8">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38434510-4 (Citometri)</w:t>
            </w:r>
          </w:p>
        </w:tc>
      </w:tr>
      <w:tr>
        <w:tc>
          <w:tcPr/>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tabs>
                <w:tab w:val="left" w:pos="2835"/>
              </w:tabs>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A">
            <w:pPr>
              <w:tabs>
                <w:tab w:val="left" w:pos="2835"/>
              </w:tabs>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daļa “Kapilāru elektroforēzes iekārta”</w:t>
            </w:r>
          </w:p>
        </w:tc>
        <w:tc>
          <w:tcPr/>
          <w:p w:rsidR="00000000" w:rsidDel="00000000" w:rsidP="00000000" w:rsidRDefault="00000000" w:rsidRPr="00000000" w14:paraId="000000DB">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38434500-1 (Bioķīmiskie analizatori)</w:t>
            </w:r>
          </w:p>
        </w:tc>
      </w:tr>
      <w:tr>
        <w:trPr>
          <w:trHeight w:val="760" w:hRule="atLeast"/>
        </w:trPr>
        <w:tc>
          <w:tcPr/>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D">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daļa “Grauzeju ūdens/barības patēriņa un lokomotorās aktivitātes reģistrācijas sistēmas </w:t>
            </w:r>
            <w:r w:rsidDel="00000000" w:rsidR="00000000" w:rsidRPr="00000000">
              <w:rPr>
                <w:rFonts w:ascii="Times New Roman" w:cs="Times New Roman" w:eastAsia="Times New Roman" w:hAnsi="Times New Roman"/>
                <w:i w:val="1"/>
                <w:rtl w:val="0"/>
              </w:rPr>
              <w:t xml:space="preserve">TSE Systems PhenoMaster</w:t>
            </w:r>
            <w:r w:rsidDel="00000000" w:rsidR="00000000" w:rsidRPr="00000000">
              <w:rPr>
                <w:rFonts w:ascii="Times New Roman" w:cs="Times New Roman" w:eastAsia="Times New Roman" w:hAnsi="Times New Roman"/>
                <w:rtl w:val="0"/>
              </w:rPr>
              <w:t xml:space="preserve"> modernizācija un papildus nokomplektēšana”</w:t>
            </w:r>
          </w:p>
        </w:tc>
        <w:tc>
          <w:tcPr/>
          <w:p w:rsidR="00000000" w:rsidDel="00000000" w:rsidP="00000000" w:rsidRDefault="00000000" w:rsidRPr="00000000" w14:paraId="000000DE">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38000000-5 (Laboratorijas, optiskās un precīzijas ierīces (izņemot brilles))</w:t>
            </w:r>
          </w:p>
          <w:p w:rsidR="00000000" w:rsidDel="00000000" w:rsidP="00000000" w:rsidRDefault="00000000" w:rsidRPr="00000000" w14:paraId="000000D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48900000-7 (Dažādas programmatūras pakotnes un datoru sistēmas)</w:t>
            </w:r>
          </w:p>
        </w:tc>
      </w:tr>
      <w:tr>
        <w:tc>
          <w:tcPr/>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daļa “Mitohondriju bojājumu detekcijas iekārta”</w:t>
            </w:r>
          </w:p>
        </w:tc>
        <w:tc>
          <w:tcPr/>
          <w:p w:rsidR="00000000" w:rsidDel="00000000" w:rsidP="00000000" w:rsidRDefault="00000000" w:rsidRPr="00000000" w14:paraId="000000E2">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E3">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E4">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5">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daļa “Sistēma traumatiska smadzeņu bojājuma radīšanai laboratorijas dzīvniekiem”</w:t>
            </w:r>
          </w:p>
        </w:tc>
        <w:tc>
          <w:tcPr/>
          <w:p w:rsidR="00000000" w:rsidDel="00000000" w:rsidP="00000000" w:rsidRDefault="00000000" w:rsidRPr="00000000" w14:paraId="000000E6">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E7">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9">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daļa “Smadzeņu struktūrās inplantējami mikrosūkņi”</w:t>
            </w:r>
          </w:p>
        </w:tc>
        <w:tc>
          <w:tcPr/>
          <w:p w:rsidR="00000000" w:rsidDel="00000000" w:rsidP="00000000" w:rsidRDefault="00000000" w:rsidRPr="00000000" w14:paraId="000000EA">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EB">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D">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daļa “Stereotakses instruments ar papildus aprīkojumu operāciju veikšanai pelēm”</w:t>
            </w:r>
          </w:p>
        </w:tc>
        <w:tc>
          <w:tcPr/>
          <w:p w:rsidR="00000000" w:rsidDel="00000000" w:rsidP="00000000" w:rsidRDefault="00000000" w:rsidRPr="00000000" w14:paraId="000000EE">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EF">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r>
        <w:tc>
          <w:tcPr/>
          <w:p w:rsidR="00000000" w:rsidDel="00000000" w:rsidP="00000000" w:rsidRDefault="00000000" w:rsidRPr="00000000" w14:paraId="000000F0">
            <w:pPr>
              <w:numPr>
                <w:ilvl w:val="0"/>
                <w:numId w:val="2"/>
              </w:numPr>
              <w:pBdr>
                <w:top w:space="0" w:sz="0" w:val="nil"/>
                <w:left w:space="0" w:sz="0" w:val="nil"/>
                <w:bottom w:space="0" w:sz="0" w:val="nil"/>
                <w:right w:space="0" w:sz="0" w:val="nil"/>
                <w:between w:space="0" w:sz="0" w:val="nil"/>
              </w:pBdr>
              <w:ind w:left="708" w:hanging="360"/>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1">
            <w:pPr>
              <w:ind w:left="142" w:right="2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 daļa “Vakuuma filtrēšanas iekārta”</w:t>
            </w:r>
          </w:p>
        </w:tc>
        <w:tc>
          <w:tcPr/>
          <w:p w:rsidR="00000000" w:rsidDel="00000000" w:rsidP="00000000" w:rsidRDefault="00000000" w:rsidRPr="00000000" w14:paraId="000000F2">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38300000-8 (Mērinstrumenti)</w:t>
            </w:r>
          </w:p>
          <w:p w:rsidR="00000000" w:rsidDel="00000000" w:rsidP="00000000" w:rsidRDefault="00000000" w:rsidRPr="00000000" w14:paraId="000000F3">
            <w:pPr>
              <w:ind w:left="113" w:right="13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31000000-6 (Elektriskie mehānismi, aparāti, iekārtas un palīgmateriāli; apgaismojums)</w:t>
            </w:r>
          </w:p>
        </w:tc>
      </w:tr>
    </w:tbl>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pacing w:after="120" w:before="120" w:line="24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numPr>
          <w:ilvl w:val="1"/>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Pretendents piedāvājumu drīkst iesniegt par vienu vai vairākām, vai visām pilnībā piedāvātām iepirkuma priekšmeta daļām (pretendentam jāpiedāvā visas tehniskajā specifikācijā (nolikuma 1. pielikums “Tehniskās specifikācijas - Pretendenta tehniskais piedāvājums”) iekļautās preces attiecīgajā Iepirkuma priekšmeta daļā). Pretendents nedrīkst iesniegt piedāvājuma variantus. Pretendentu piedāvājumi, kuri būs nepilnīgi vai kuros būs iesniegti piedāvājuma varianti, tiks noraidīti.</w:t>
      </w:r>
    </w:p>
    <w:p w:rsidR="00000000" w:rsidDel="00000000" w:rsidP="00000000" w:rsidRDefault="00000000" w:rsidRPr="00000000" w14:paraId="000000F6">
      <w:pPr>
        <w:numPr>
          <w:ilvl w:val="1"/>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procedūras finansējuma avots: </w:t>
      </w:r>
      <w:r w:rsidDel="00000000" w:rsidR="00000000" w:rsidRPr="00000000">
        <w:rPr>
          <w:rFonts w:ascii="Times New Roman" w:cs="Times New Roman" w:eastAsia="Times New Roman" w:hAnsi="Times New Roman"/>
          <w:rtl w:val="0"/>
        </w:rPr>
        <w:t xml:space="preserve">iepirkums tiek finansēts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 projekta Nr.1.1.1.4/17/I/015 "Latvijas Universitātes pētniecības infrastruktūras modernizācija un resursu koncentrācija viedās specializācijas jomās" un no projekta Nr.8.1.1.0/17/I/010 "Latvijas Universitātes STEM studiju virzienu infrastruktūras modernizācija un resursu koncentrācija" finanšu līdzekļiem, tai skaitā, no Eiropas Reģionālās attīstības fonda finansējuma.</w:t>
      </w:r>
    </w:p>
    <w:p w:rsidR="00000000" w:rsidDel="00000000" w:rsidP="00000000" w:rsidRDefault="00000000" w:rsidRPr="00000000" w14:paraId="000000F7">
      <w:pPr>
        <w:widowControl w:val="0"/>
        <w:numPr>
          <w:ilvl w:val="1"/>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līguma izpilde, laiks un vieta:</w:t>
      </w:r>
      <w:r w:rsidDel="00000000" w:rsidR="00000000" w:rsidRPr="00000000">
        <w:rPr>
          <w:rtl w:val="0"/>
        </w:rPr>
      </w:r>
    </w:p>
    <w:p w:rsidR="00000000" w:rsidDel="00000000" w:rsidP="00000000" w:rsidRDefault="00000000" w:rsidRPr="00000000" w14:paraId="000000F8">
      <w:pPr>
        <w:widowControl w:val="0"/>
        <w:numPr>
          <w:ilvl w:val="2"/>
          <w:numId w:val="7"/>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Iepirkuma līguma izpildes (preces piegādes) vieta: </w:t>
      </w:r>
      <w:r w:rsidDel="00000000" w:rsidR="00000000" w:rsidRPr="00000000">
        <w:rPr>
          <w:rFonts w:ascii="Times New Roman" w:cs="Times New Roman" w:eastAsia="Times New Roman" w:hAnsi="Times New Roman"/>
          <w:rtl w:val="0"/>
        </w:rPr>
        <w:t xml:space="preserve">atbilstoši Tehniskajā specifikācijā noteiktajam katrai Iepirkuma priekšmeta daļai. </w:t>
      </w:r>
    </w:p>
    <w:p w:rsidR="00000000" w:rsidDel="00000000" w:rsidP="00000000" w:rsidRDefault="00000000" w:rsidRPr="00000000" w14:paraId="000000F9">
      <w:pPr>
        <w:widowControl w:val="0"/>
        <w:numPr>
          <w:ilvl w:val="2"/>
          <w:numId w:val="7"/>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Iepirkuma līguma izpildes termiņš:</w:t>
      </w:r>
      <w:r w:rsidDel="00000000" w:rsidR="00000000" w:rsidRPr="00000000">
        <w:rPr>
          <w:rFonts w:ascii="Times New Roman" w:cs="Times New Roman" w:eastAsia="Times New Roman" w:hAnsi="Times New Roman"/>
          <w:color w:val="000000"/>
          <w:rtl w:val="0"/>
        </w:rPr>
        <w:t xml:space="preserve"> 6 (seši) mēneši no Iepirkuma līguma noslēgšanas brīža. </w:t>
      </w:r>
      <w:r w:rsidDel="00000000" w:rsidR="00000000" w:rsidRPr="00000000">
        <w:rPr>
          <w:rtl w:val="0"/>
        </w:rPr>
      </w:r>
    </w:p>
    <w:p w:rsidR="00000000" w:rsidDel="00000000" w:rsidP="00000000" w:rsidRDefault="00000000" w:rsidRPr="00000000" w14:paraId="000000FA">
      <w:pPr>
        <w:widowControl w:val="0"/>
        <w:numPr>
          <w:ilvl w:val="2"/>
          <w:numId w:val="7"/>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Iepirkuma priekšmeta piegādes termiņš:</w:t>
      </w:r>
      <w:r w:rsidDel="00000000" w:rsidR="00000000" w:rsidRPr="00000000">
        <w:rPr>
          <w:rFonts w:ascii="Times New Roman" w:cs="Times New Roman" w:eastAsia="Times New Roman" w:hAnsi="Times New Roman"/>
          <w:color w:val="000000"/>
          <w:rtl w:val="0"/>
        </w:rPr>
        <w:t xml:space="preserve"> ne </w:t>
      </w:r>
      <w:r w:rsidDel="00000000" w:rsidR="00000000" w:rsidRPr="00000000">
        <w:rPr>
          <w:rFonts w:ascii="Times New Roman" w:cs="Times New Roman" w:eastAsia="Times New Roman" w:hAnsi="Times New Roman"/>
          <w:rtl w:val="0"/>
        </w:rPr>
        <w:t xml:space="preserve">vēlāk kā 90 (deviņdesmit) dienu laikā no preču pasūtījuma nosūtīšanas brīža (par pasūtījuma nosūtīšanas brīdi uzskatāms Pasūtītāja pārstāvja elektroniski pa e-pastu nosūtīts pasūtījums pārdevēja (Iepirkumā uzvarējušā pretendenta) pārstāvim par preču piegādi).</w:t>
      </w:r>
    </w:p>
    <w:p w:rsidR="00000000" w:rsidDel="00000000" w:rsidP="00000000" w:rsidRDefault="00000000" w:rsidRPr="00000000" w14:paraId="000000FB">
      <w:pPr>
        <w:widowControl w:val="0"/>
        <w:pBdr>
          <w:top w:color="000000" w:space="0" w:sz="0" w:val="none"/>
          <w:left w:color="000000" w:space="0" w:sz="0" w:val="none"/>
          <w:bottom w:color="000000" w:space="0" w:sz="0" w:val="none"/>
          <w:right w:color="000000" w:space="0" w:sz="0" w:val="none"/>
          <w:between w:color="000000" w:space="0" w:sz="0" w:val="none"/>
        </w:pBdr>
        <w:spacing w:after="240" w:before="240" w:line="240" w:lineRule="auto"/>
        <w:contextualSpacing w:val="0"/>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III PIEDĀVĀJUMA IESNIEGŠANA UN ATVĒRŠANA</w:t>
      </w:r>
      <w:r w:rsidDel="00000000" w:rsidR="00000000" w:rsidRPr="00000000">
        <w:rPr>
          <w:rtl w:val="0"/>
        </w:rPr>
      </w:r>
    </w:p>
    <w:p w:rsidR="00000000" w:rsidDel="00000000" w:rsidP="00000000" w:rsidRDefault="00000000" w:rsidRPr="00000000" w14:paraId="000000FC">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b w:val="1"/>
          <w:rtl w:val="0"/>
        </w:rPr>
        <w:t xml:space="preserve">Piedāvājumu iesniegšana:</w:t>
      </w:r>
      <w:r w:rsidDel="00000000" w:rsidR="00000000" w:rsidRPr="00000000">
        <w:rPr>
          <w:rFonts w:ascii="Times New Roman" w:cs="Times New Roman" w:eastAsia="Times New Roman" w:hAnsi="Times New Roman"/>
          <w:rtl w:val="0"/>
        </w:rPr>
        <w:t xml:space="preserve"> saskaņā ar PIL 39.panta pirmo daļu, piedāvājumi ir iesniedzami </w:t>
      </w:r>
      <w:r w:rsidDel="00000000" w:rsidR="00000000" w:rsidRPr="00000000">
        <w:rPr>
          <w:rFonts w:ascii="Times New Roman" w:cs="Times New Roman" w:eastAsia="Times New Roman" w:hAnsi="Times New Roman"/>
          <w:u w:val="single"/>
          <w:rtl w:val="0"/>
        </w:rPr>
        <w:t xml:space="preserve">TIKAI ELEKTRONISKI</w:t>
      </w:r>
      <w:r w:rsidDel="00000000" w:rsidR="00000000" w:rsidRPr="00000000">
        <w:rPr>
          <w:rFonts w:ascii="Times New Roman" w:cs="Times New Roman" w:eastAsia="Times New Roman" w:hAnsi="Times New Roman"/>
          <w:rtl w:val="0"/>
        </w:rPr>
        <w:t xml:space="preserve">, izmantojot Valsts reģionālās attīstības aģentūras uzturētā tīmekļvietnē www.eis.gov.lv pieejamo Elektronisko iepirkumu sistēmas (turpmāk tekstā – EIS) e-konkursu apakšsistēmu. </w:t>
      </w:r>
      <w:r w:rsidDel="00000000" w:rsidR="00000000" w:rsidRPr="00000000">
        <w:rPr>
          <w:rtl w:val="0"/>
        </w:rPr>
      </w:r>
    </w:p>
    <w:p w:rsidR="00000000" w:rsidDel="00000000" w:rsidP="00000000" w:rsidRDefault="00000000" w:rsidRPr="00000000" w14:paraId="000000FD">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rtl w:val="0"/>
        </w:rPr>
        <w:t xml:space="preserve">Lai pretendents iesniegtu piedāvājumu EIS e-pasūtījumu apakšsistēmā rīkotā iepirkuma procedūrā, tas reģistrējas EIS (reģistrācijas informāciju sk. šeit: </w:t>
      </w:r>
      <w:hyperlink r:id="rId9">
        <w:r w:rsidDel="00000000" w:rsidR="00000000" w:rsidRPr="00000000">
          <w:rPr>
            <w:rFonts w:ascii="Times New Roman" w:cs="Times New Roman" w:eastAsia="Times New Roman" w:hAnsi="Times New Roman"/>
            <w:color w:val="0000ff"/>
            <w:u w:val="single"/>
            <w:rtl w:val="0"/>
          </w:rPr>
          <w:t xml:space="preserve">https://www.eis.gov.lv/EIS/Publications/PublicationView.aspx?PublicationId=4&amp;systemCode=CORE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FE">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b w:val="1"/>
          <w:sz w:val="24"/>
          <w:szCs w:val="24"/>
          <w:rtl w:val="0"/>
        </w:rPr>
        <w:t xml:space="preserve">Piedāvājuma iesniegšanas termiņš</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piedāvājums jāiesniedz elektroniski, izmantojot EIS e-konkursu apakšsistēmu līdz </w:t>
      </w:r>
      <w:r w:rsidDel="00000000" w:rsidR="00000000" w:rsidRPr="00000000">
        <w:rPr>
          <w:rFonts w:ascii="Times New Roman" w:cs="Times New Roman" w:eastAsia="Times New Roman" w:hAnsi="Times New Roman"/>
          <w:b w:val="1"/>
          <w:sz w:val="24"/>
          <w:szCs w:val="24"/>
          <w:rtl w:val="0"/>
        </w:rPr>
        <w:t xml:space="preserve">2018. gada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9.aprīļa</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sz w:val="24"/>
          <w:szCs w:val="24"/>
          <w:rtl w:val="0"/>
        </w:rPr>
        <w:t xml:space="preserve">plkst.16.00</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FF">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567" w:hanging="567"/>
        <w:contextualSpacing w:val="0"/>
        <w:jc w:val="both"/>
        <w:rPr/>
      </w:pPr>
      <w:r w:rsidDel="00000000" w:rsidR="00000000" w:rsidRPr="00000000">
        <w:rPr>
          <w:rFonts w:ascii="Times New Roman" w:cs="Times New Roman" w:eastAsia="Times New Roman" w:hAnsi="Times New Roman"/>
          <w:b w:val="1"/>
          <w:rtl w:val="0"/>
        </w:rPr>
        <w:t xml:space="preserve">Piedāvājuma noformēšana - iepirkumā iesniedzamie dokumenti: </w:t>
      </w:r>
      <w:r w:rsidDel="00000000" w:rsidR="00000000" w:rsidRPr="00000000">
        <w:rPr>
          <w:rFonts w:ascii="Times New Roman" w:cs="Times New Roman" w:eastAsia="Times New Roman" w:hAnsi="Times New Roman"/>
          <w:rtl w:val="0"/>
        </w:rPr>
        <w:t xml:space="preserve">pretendenta piedāvājums sastāv no šādiem atsevišķiem elektroniski sagatavotiem un parakstītiem dokumentiem:</w:t>
      </w:r>
      <w:r w:rsidDel="00000000" w:rsidR="00000000" w:rsidRPr="00000000">
        <w:rPr>
          <w:rtl w:val="0"/>
        </w:rPr>
      </w:r>
    </w:p>
    <w:p w:rsidR="00000000" w:rsidDel="00000000" w:rsidP="00000000" w:rsidRDefault="00000000" w:rsidRPr="00000000" w14:paraId="00000100">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pos="142"/>
          <w:tab w:val="left" w:pos="993"/>
        </w:tabs>
        <w:spacing w:after="0" w:line="240" w:lineRule="auto"/>
        <w:ind w:left="709" w:hanging="709"/>
        <w:contextualSpacing w:val="0"/>
        <w:jc w:val="both"/>
        <w:rPr/>
      </w:pPr>
      <w:r w:rsidDel="00000000" w:rsidR="00000000" w:rsidRPr="00000000">
        <w:rPr>
          <w:rFonts w:ascii="Times New Roman" w:cs="Times New Roman" w:eastAsia="Times New Roman" w:hAnsi="Times New Roman"/>
          <w:u w:val="single"/>
          <w:rtl w:val="0"/>
        </w:rPr>
        <w:t xml:space="preserve">Pretendenta pieteikuma</w:t>
      </w:r>
      <w:r w:rsidDel="00000000" w:rsidR="00000000" w:rsidRPr="00000000">
        <w:rPr>
          <w:rFonts w:ascii="Times New Roman" w:cs="Times New Roman" w:eastAsia="Times New Roman" w:hAnsi="Times New Roman"/>
          <w:rtl w:val="0"/>
        </w:rPr>
        <w:t xml:space="preserve"> (atbilstoši EIS e-konkursu apakšsistēmā Iepirkuma sadaļā publicētajām veidlapām (formām) un nolikuma 2. pielikumam “Pretendenta pieteikums”);</w:t>
      </w:r>
      <w:r w:rsidDel="00000000" w:rsidR="00000000" w:rsidRPr="00000000">
        <w:rPr>
          <w:rtl w:val="0"/>
        </w:rPr>
      </w:r>
    </w:p>
    <w:p w:rsidR="00000000" w:rsidDel="00000000" w:rsidP="00000000" w:rsidRDefault="00000000" w:rsidRPr="00000000" w14:paraId="00000101">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pos="142"/>
        </w:tabs>
        <w:spacing w:after="0" w:line="240" w:lineRule="auto"/>
        <w:ind w:left="720" w:hanging="720"/>
        <w:contextualSpacing w:val="0"/>
        <w:jc w:val="both"/>
        <w:rPr/>
      </w:pPr>
      <w:r w:rsidDel="00000000" w:rsidR="00000000" w:rsidRPr="00000000">
        <w:rPr>
          <w:rFonts w:ascii="Times New Roman" w:cs="Times New Roman" w:eastAsia="Times New Roman" w:hAnsi="Times New Roman"/>
          <w:u w:val="single"/>
          <w:rtl w:val="0"/>
        </w:rPr>
        <w:t xml:space="preserve">Pretendenta atlases (kvalifikācijas) dokumenti</w:t>
      </w:r>
      <w:r w:rsidDel="00000000" w:rsidR="00000000" w:rsidRPr="00000000">
        <w:rPr>
          <w:rFonts w:ascii="Times New Roman" w:cs="Times New Roman" w:eastAsia="Times New Roman" w:hAnsi="Times New Roman"/>
          <w:rtl w:val="0"/>
        </w:rPr>
        <w:t xml:space="preserve"> (atbilstoši EIS e-konkursu apakšsistēmā Iepirkuma sadaļā publicētajām veidlapām (formām) un nolikuma IV sadaļai).</w:t>
      </w:r>
      <w:r w:rsidDel="00000000" w:rsidR="00000000" w:rsidRPr="00000000">
        <w:rPr>
          <w:rtl w:val="0"/>
        </w:rPr>
      </w:r>
    </w:p>
    <w:p w:rsidR="00000000" w:rsidDel="00000000" w:rsidP="00000000" w:rsidRDefault="00000000" w:rsidRPr="00000000" w14:paraId="00000102">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pos="142"/>
        </w:tabs>
        <w:spacing w:after="0" w:line="240" w:lineRule="auto"/>
        <w:ind w:left="709" w:hanging="709"/>
        <w:contextualSpacing w:val="0"/>
        <w:jc w:val="both"/>
        <w:rPr/>
      </w:pPr>
      <w:r w:rsidDel="00000000" w:rsidR="00000000" w:rsidRPr="00000000">
        <w:rPr>
          <w:rFonts w:ascii="Times New Roman" w:cs="Times New Roman" w:eastAsia="Times New Roman" w:hAnsi="Times New Roman"/>
          <w:u w:val="single"/>
          <w:rtl w:val="0"/>
        </w:rPr>
        <w:t xml:space="preserve">Tehniskā piedāvājuma</w:t>
      </w:r>
      <w:r w:rsidDel="00000000" w:rsidR="00000000" w:rsidRPr="00000000">
        <w:rPr>
          <w:rFonts w:ascii="Times New Roman" w:cs="Times New Roman" w:eastAsia="Times New Roman" w:hAnsi="Times New Roman"/>
          <w:rtl w:val="0"/>
        </w:rPr>
        <w:t xml:space="preserve"> (atbilstoši EIS e-konkursu apakšsistēmā Iepirkuma sadaļā publicētajām veidlapām (formām) un nolikuma 1.pielikumam “Tehniskās specifikācijas – Pretendenta tehniskais piedāvājums”.</w:t>
      </w:r>
      <w:r w:rsidDel="00000000" w:rsidR="00000000" w:rsidRPr="00000000">
        <w:rPr>
          <w:rtl w:val="0"/>
        </w:rPr>
      </w:r>
    </w:p>
    <w:p w:rsidR="00000000" w:rsidDel="00000000" w:rsidP="00000000" w:rsidRDefault="00000000" w:rsidRPr="00000000" w14:paraId="00000103">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pos="142"/>
        </w:tabs>
        <w:spacing w:after="0" w:line="240" w:lineRule="auto"/>
        <w:ind w:left="709" w:hanging="709"/>
        <w:contextualSpacing w:val="0"/>
        <w:jc w:val="both"/>
        <w:rPr/>
      </w:pPr>
      <w:r w:rsidDel="00000000" w:rsidR="00000000" w:rsidRPr="00000000">
        <w:rPr>
          <w:rFonts w:ascii="Times New Roman" w:cs="Times New Roman" w:eastAsia="Times New Roman" w:hAnsi="Times New Roman"/>
          <w:u w:val="single"/>
          <w:rtl w:val="0"/>
        </w:rPr>
        <w:t xml:space="preserve">Finanšu piedāvājuma</w:t>
      </w:r>
      <w:r w:rsidDel="00000000" w:rsidR="00000000" w:rsidRPr="00000000">
        <w:rPr>
          <w:rFonts w:ascii="Times New Roman" w:cs="Times New Roman" w:eastAsia="Times New Roman" w:hAnsi="Times New Roman"/>
          <w:rtl w:val="0"/>
        </w:rPr>
        <w:t xml:space="preserve"> (atbilstoši EIS e-konkursu apakšsistēmā Iepirkuma sadaļā publicētajām veidlapām (formām) un nolikuma 4.pielikumam“Finanšu piedāvājums”).</w:t>
      </w:r>
      <w:r w:rsidDel="00000000" w:rsidR="00000000" w:rsidRPr="00000000">
        <w:rPr>
          <w:rtl w:val="0"/>
        </w:rPr>
      </w:r>
    </w:p>
    <w:p w:rsidR="00000000" w:rsidDel="00000000" w:rsidP="00000000" w:rsidRDefault="00000000" w:rsidRPr="00000000" w14:paraId="00000104">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pos="0"/>
        </w:tabs>
        <w:spacing w:after="0" w:before="120" w:line="240" w:lineRule="auto"/>
        <w:ind w:left="567" w:hanging="567"/>
        <w:contextualSpacing w:val="0"/>
        <w:jc w:val="both"/>
        <w:rPr/>
      </w:pPr>
      <w:r w:rsidDel="00000000" w:rsidR="00000000" w:rsidRPr="00000000">
        <w:rPr>
          <w:rFonts w:ascii="Times New Roman" w:cs="Times New Roman" w:eastAsia="Times New Roman" w:hAnsi="Times New Roman"/>
          <w:rtl w:val="0"/>
        </w:rPr>
        <w:t xml:space="preserve">Piedāvājums jāiesniedz elektroniski EIS e-konkursu apakšsistēmā, ievērojot šādas pretendenta izvēles iespējas:</w:t>
      </w:r>
      <w:r w:rsidDel="00000000" w:rsidR="00000000" w:rsidRPr="00000000">
        <w:rPr>
          <w:rtl w:val="0"/>
        </w:rPr>
      </w:r>
    </w:p>
    <w:p w:rsidR="00000000" w:rsidDel="00000000" w:rsidP="00000000" w:rsidRDefault="00000000" w:rsidRPr="00000000" w14:paraId="00000105">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izmantojot EIS e-konkursu apakšsistēmas piedāvātos rīkus, aizpildot minētās sistēmas e-konkursu apakšsistēmā šī iepirkuma sadaļā ievietotās formas;</w:t>
      </w:r>
      <w:r w:rsidDel="00000000" w:rsidR="00000000" w:rsidRPr="00000000">
        <w:rPr>
          <w:rtl w:val="0"/>
        </w:rPr>
      </w:r>
    </w:p>
    <w:p w:rsidR="00000000" w:rsidDel="00000000" w:rsidP="00000000" w:rsidRDefault="00000000" w:rsidRPr="00000000" w14:paraId="00000106">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Del="00000000" w:rsidR="00000000" w:rsidRPr="00000000">
        <w:rPr>
          <w:rtl w:val="0"/>
        </w:rPr>
      </w:r>
    </w:p>
    <w:p w:rsidR="00000000" w:rsidDel="00000000" w:rsidP="00000000" w:rsidRDefault="00000000" w:rsidRPr="00000000" w14:paraId="00000107">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elektroniski (PDF formas veidā)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 </w:t>
      </w:r>
      <w:r w:rsidDel="00000000" w:rsidR="00000000" w:rsidRPr="00000000">
        <w:rPr>
          <w:rtl w:val="0"/>
        </w:rPr>
      </w:r>
    </w:p>
    <w:p w:rsidR="00000000" w:rsidDel="00000000" w:rsidP="00000000" w:rsidRDefault="00000000" w:rsidRPr="00000000" w14:paraId="00000108">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rtl w:val="0"/>
        </w:rPr>
        <w:t xml:space="preserve">Iesniegtie piedāvājumi, izņemot, ja pretendents piedāvājumu atsauc, paliek Pasūtītāja īpašumā.</w:t>
      </w:r>
      <w:r w:rsidDel="00000000" w:rsidR="00000000" w:rsidRPr="00000000">
        <w:rPr>
          <w:rtl w:val="0"/>
        </w:rPr>
      </w:r>
    </w:p>
    <w:p w:rsidR="00000000" w:rsidDel="00000000" w:rsidP="00000000" w:rsidRDefault="00000000" w:rsidRPr="00000000" w14:paraId="00000109">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567" w:hanging="567"/>
        <w:contextualSpacing w:val="0"/>
        <w:jc w:val="both"/>
        <w:rPr/>
      </w:pPr>
      <w:r w:rsidDel="00000000" w:rsidR="00000000" w:rsidRPr="00000000">
        <w:rPr>
          <w:rFonts w:ascii="Times New Roman" w:cs="Times New Roman" w:eastAsia="Times New Roman" w:hAnsi="Times New Roman"/>
          <w:u w:val="single"/>
          <w:rtl w:val="0"/>
        </w:rPr>
        <w:t xml:space="preserve">Sagatavojot piedāvājumu, pretendents ievēro, ka:</w:t>
      </w:r>
      <w:r w:rsidDel="00000000" w:rsidR="00000000" w:rsidRPr="00000000">
        <w:rPr>
          <w:rtl w:val="0"/>
        </w:rPr>
      </w:r>
    </w:p>
    <w:p w:rsidR="00000000" w:rsidDel="00000000" w:rsidP="00000000" w:rsidRDefault="00000000" w:rsidRPr="00000000" w14:paraId="0000010A">
      <w:pPr>
        <w:widowControl w:val="0"/>
        <w:numPr>
          <w:ilvl w:val="2"/>
          <w:numId w:val="4"/>
        </w:numPr>
        <w:spacing w:after="0" w:before="0" w:line="240" w:lineRule="auto"/>
        <w:ind w:left="720" w:hanging="720"/>
        <w:contextualSpacing w:val="1"/>
        <w:jc w:val="both"/>
        <w:rPr/>
      </w:pPr>
      <w:r w:rsidDel="00000000" w:rsidR="00000000" w:rsidRPr="00000000">
        <w:rPr>
          <w:rFonts w:ascii="Times New Roman" w:cs="Times New Roman" w:eastAsia="Times New Roman" w:hAnsi="Times New Roman"/>
          <w:b w:val="1"/>
          <w:rtl w:val="0"/>
        </w:rPr>
        <w:t xml:space="preserve">Pretendentam tehniskais piedāvājums</w:t>
      </w:r>
      <w:r w:rsidDel="00000000" w:rsidR="00000000" w:rsidRPr="00000000">
        <w:rPr>
          <w:rFonts w:ascii="Times New Roman" w:cs="Times New Roman" w:eastAsia="Times New Roman" w:hAnsi="Times New Roman"/>
          <w:rtl w:val="0"/>
        </w:rPr>
        <w:t xml:space="preserve"> ir jāsagatavo un jāiesniedz atbilstoši nolikuma 1. pielikuma “Tehniskās specifikācijas – Pretendenta tehniskais piedāvājums” prasībām. Pretendents var piedāvāt labāku tehnisko piedāvājumu, bet tam ir jāatbilst vismaz tehniskajā specifikācijā noteiktajām minimālajām tehniskajām prasībām (atbilstību nosaka Komisija). Pretendents nedrīkst mainīt tehniskā piedāvājuma formu. Pretendents ir atbildīgs par sniegto ziņu patiesumu. Ja Komisija, pārbaudot tehniskajā piedāvājumā sniegto informāciju, noskaidro, ka tā neatbilst tehniskajā specifikācijā minētajām minimālajām prasībām, pretendents no tālākās dalības Iepirkumā tiek noraidīts.</w:t>
      </w:r>
      <w:r w:rsidDel="00000000" w:rsidR="00000000" w:rsidRPr="00000000">
        <w:rPr>
          <w:rtl w:val="0"/>
        </w:rPr>
      </w:r>
    </w:p>
    <w:p w:rsidR="00000000" w:rsidDel="00000000" w:rsidP="00000000" w:rsidRDefault="00000000" w:rsidRPr="00000000" w14:paraId="0000010B">
      <w:pPr>
        <w:widowControl w:val="0"/>
        <w:numPr>
          <w:ilvl w:val="2"/>
          <w:numId w:val="4"/>
        </w:numP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b w:val="1"/>
          <w:rtl w:val="0"/>
        </w:rPr>
        <w:t xml:space="preserve">Pretendentam Finanšu piedāvājums</w:t>
      </w:r>
      <w:r w:rsidDel="00000000" w:rsidR="00000000" w:rsidRPr="00000000">
        <w:rPr>
          <w:rFonts w:ascii="Times New Roman" w:cs="Times New Roman" w:eastAsia="Times New Roman" w:hAnsi="Times New Roman"/>
          <w:rtl w:val="0"/>
        </w:rPr>
        <w:t xml:space="preserve"> ir jāsagatavo un jāiesniedz atbilstoši iepirkuma nolikuma 4. pielikuma “Finanšu piedāvājums” prasībām. </w:t>
      </w:r>
      <w:r w:rsidDel="00000000" w:rsidR="00000000" w:rsidRPr="00000000">
        <w:rPr>
          <w:rtl w:val="0"/>
        </w:rPr>
      </w:r>
    </w:p>
    <w:p w:rsidR="00000000" w:rsidDel="00000000" w:rsidP="00000000" w:rsidRDefault="00000000" w:rsidRPr="00000000" w14:paraId="0000010C">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b w:val="1"/>
          <w:rtl w:val="0"/>
        </w:rPr>
        <w:t xml:space="preserve">Pieteikuma veidlapa, tehniskais un finanšu piedāvājums</w:t>
      </w:r>
      <w:r w:rsidDel="00000000" w:rsidR="00000000" w:rsidRPr="00000000">
        <w:rPr>
          <w:rFonts w:ascii="Times New Roman" w:cs="Times New Roman" w:eastAsia="Times New Roman" w:hAnsi="Times New Roman"/>
          <w:rtl w:val="0"/>
        </w:rPr>
        <w:t xml:space="preserve"> saskaņā ar e-konkursu apakšsistēmā iepirkuma procedūras profilam pievienotajām dokumentu veidnēm jāaizpilda </w:t>
      </w:r>
      <w:r w:rsidDel="00000000" w:rsidR="00000000" w:rsidRPr="00000000">
        <w:rPr>
          <w:rFonts w:ascii="Times New Roman" w:cs="Times New Roman" w:eastAsia="Times New Roman" w:hAnsi="Times New Roman"/>
          <w:b w:val="1"/>
          <w:rtl w:val="0"/>
        </w:rPr>
        <w:t xml:space="preserve">tikai elektroniski</w:t>
      </w:r>
      <w:r w:rsidDel="00000000" w:rsidR="00000000" w:rsidRPr="00000000">
        <w:rPr>
          <w:rFonts w:ascii="Times New Roman" w:cs="Times New Roman" w:eastAsia="Times New Roman" w:hAnsi="Times New Roman"/>
          <w:rtl w:val="0"/>
        </w:rPr>
        <w:t xml:space="preserve"> un jāpievieno tam paredzētajā iepirkuma procedūras profila sadaļā.</w:t>
      </w:r>
      <w:r w:rsidDel="00000000" w:rsidR="00000000" w:rsidRPr="00000000">
        <w:rPr>
          <w:rtl w:val="0"/>
        </w:rPr>
      </w:r>
    </w:p>
    <w:p w:rsidR="00000000" w:rsidDel="00000000" w:rsidP="00000000" w:rsidRDefault="00000000" w:rsidRPr="00000000" w14:paraId="0000010D">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Piedāvājuma dokumenti (pieteikuma veidlapa, tehniskais un finanšu piedāvājums, u.c.) ir jāsagatavo atsevišķos elektroniskos dokumentos ar standarta biroja programmatūras rīkiem nolasāmā formātā (piemēram, _</w:t>
      </w:r>
      <w:r w:rsidDel="00000000" w:rsidR="00000000" w:rsidRPr="00000000">
        <w:rPr>
          <w:rFonts w:ascii="Times New Roman" w:cs="Times New Roman" w:eastAsia="Times New Roman" w:hAnsi="Times New Roman"/>
          <w:i w:val="1"/>
          <w:rtl w:val="0"/>
        </w:rPr>
        <w:t xml:space="preserve">Microsoft Office 2010</w:t>
      </w:r>
      <w:r w:rsidDel="00000000" w:rsidR="00000000" w:rsidRPr="00000000">
        <w:rPr>
          <w:rFonts w:ascii="Times New Roman" w:cs="Times New Roman" w:eastAsia="Times New Roman" w:hAnsi="Times New Roman"/>
          <w:rtl w:val="0"/>
        </w:rPr>
        <w:t xml:space="preserve">_ (vai jaunākas programmatūras versijas) formātā vai _.</w:t>
      </w:r>
      <w:r w:rsidDel="00000000" w:rsidR="00000000" w:rsidRPr="00000000">
        <w:rPr>
          <w:rFonts w:ascii="Times New Roman" w:cs="Times New Roman" w:eastAsia="Times New Roman" w:hAnsi="Times New Roman"/>
          <w:i w:val="1"/>
          <w:rtl w:val="0"/>
        </w:rPr>
        <w:t xml:space="preserve">pdf</w:t>
      </w:r>
      <w:r w:rsidDel="00000000" w:rsidR="00000000" w:rsidRPr="00000000">
        <w:rPr>
          <w:rFonts w:ascii="Times New Roman" w:cs="Times New Roman" w:eastAsia="Times New Roman" w:hAnsi="Times New Roman"/>
          <w:rtl w:val="0"/>
        </w:rPr>
        <w:t xml:space="preserve">_ formātā);</w:t>
      </w:r>
      <w:r w:rsidDel="00000000" w:rsidR="00000000" w:rsidRPr="00000000">
        <w:rPr>
          <w:rtl w:val="0"/>
        </w:rPr>
      </w:r>
    </w:p>
    <w:p w:rsidR="00000000" w:rsidDel="00000000" w:rsidP="00000000" w:rsidRDefault="00000000" w:rsidRPr="00000000" w14:paraId="0000010E">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b w:val="1"/>
          <w:rtl w:val="0"/>
        </w:rPr>
        <w:t xml:space="preserve">Iesniedzot piedāvājumu, </w:t>
      </w:r>
      <w:r w:rsidDel="00000000" w:rsidR="00000000" w:rsidRPr="00000000">
        <w:rPr>
          <w:rFonts w:ascii="Times New Roman" w:cs="Times New Roman" w:eastAsia="Times New Roman" w:hAnsi="Times New Roman"/>
          <w:rtl w:val="0"/>
        </w:rPr>
        <w:t xml:space="preserve">pretendents to  paraksta ar drošu elektronisko parakstu un laika zīmogu vai ar EIS piedāvāto elektronisko parakstu. Pretendents ir tiesīgs ar vienu drošu elektronisko parakstu parakstīt visus dokumentus kā vienu kopumu. Pretendents pēc saviem ieskatiem dalības pieteikumu, tehnisko piedāvājumu un finanšu piedāvājumu var ar drošu elektronisko parakstu un laika zīmogu parakstīt atsevišķi  Pretendents ir tiesīgs visu iesniegto dokumentu atvasinājumu (kopiju, norakstu un izrakstu) un tulkojumu pareizību apliecināt ar vienu apliecinājumu. Ja Komisijai rodas šaubas par iesniegto dokumentu kopiju autentiskumu, tā var pieprasīt, lai pretendents uzrāda dokumentu oriģinālus</w:t>
      </w:r>
      <w:r w:rsidDel="00000000" w:rsidR="00000000" w:rsidRPr="00000000">
        <w:rPr>
          <w:rFonts w:ascii="Times New Roman" w:cs="Times New Roman" w:eastAsia="Times New Roman" w:hAnsi="Times New Roman"/>
          <w:i w:val="1"/>
          <w:color w:val="00b050"/>
          <w:rtl w:val="0"/>
        </w:rPr>
        <w:t xml:space="preserve">.</w:t>
      </w:r>
      <w:r w:rsidDel="00000000" w:rsidR="00000000" w:rsidRPr="00000000">
        <w:rPr>
          <w:rtl w:val="0"/>
        </w:rPr>
      </w:r>
    </w:p>
    <w:p w:rsidR="00000000" w:rsidDel="00000000" w:rsidP="00000000" w:rsidRDefault="00000000" w:rsidRPr="00000000" w14:paraId="0000010F">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Piedāvājumu (tā daļas, ja tās paraksta atsevišķi) paraksta pretendentu pārstāvēt tiesīgā persona, pievienojot pārstāvību apliecinošu dokumentu (piemēram, pilnvaru).</w:t>
      </w:r>
      <w:r w:rsidDel="00000000" w:rsidR="00000000" w:rsidRPr="00000000">
        <w:rPr>
          <w:rtl w:val="0"/>
        </w:rPr>
      </w:r>
    </w:p>
    <w:p w:rsidR="00000000" w:rsidDel="00000000" w:rsidP="00000000" w:rsidRDefault="00000000" w:rsidRPr="00000000" w14:paraId="00000110">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Informāciju, kas ir komercnoslēpums atbilstoši Komerclikuma 19.pantam vai tā uzskatāma par konfidenciālu informāciju, pretendents to konkrēti norāda tikai uz tām piedāvājuma lapām (daļām), kuras satur šāda rakstura informāciju, ar atzīmi </w:t>
      </w:r>
      <w:r w:rsidDel="00000000" w:rsidR="00000000" w:rsidRPr="00000000">
        <w:rPr>
          <w:rFonts w:ascii="Times New Roman" w:cs="Times New Roman" w:eastAsia="Times New Roman" w:hAnsi="Times New Roman"/>
          <w:b w:val="1"/>
          <w:i w:val="1"/>
          <w:rtl w:val="0"/>
        </w:rPr>
        <w:t xml:space="preserve">„Komercnoslēpums”</w:t>
      </w:r>
      <w:r w:rsidDel="00000000" w:rsidR="00000000" w:rsidRPr="00000000">
        <w:rPr>
          <w:rFonts w:ascii="Times New Roman" w:cs="Times New Roman" w:eastAsia="Times New Roman" w:hAnsi="Times New Roman"/>
          <w:rtl w:val="0"/>
        </w:rPr>
        <w:t xml:space="preserve">. Komercnoslēpums vai konfidenciāla informācija nevar būt informācija, kas saskaņā ar normatīvajiem aktiem ir vispārpieejama, t.sk. nolikumā iekļautā informācija, kā arī piedāvātā cena.</w:t>
      </w:r>
      <w:r w:rsidDel="00000000" w:rsidR="00000000" w:rsidRPr="00000000">
        <w:rPr>
          <w:rtl w:val="0"/>
        </w:rPr>
      </w:r>
    </w:p>
    <w:p w:rsidR="00000000" w:rsidDel="00000000" w:rsidP="00000000" w:rsidRDefault="00000000" w:rsidRPr="00000000" w14:paraId="00000111">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kas paredzēta nolikuma 3.3. punktā norādītajā laikā, jāiesniedz derīga elektroniska atslēga un parole šifrētā dokumenta atvēršanai. Ja piedāvājums saturēs kādu no šajā punktā minētajiem riskiem, tas netiks izskatīts.</w:t>
      </w:r>
      <w:r w:rsidDel="00000000" w:rsidR="00000000" w:rsidRPr="00000000">
        <w:rPr>
          <w:rtl w:val="0"/>
        </w:rPr>
      </w:r>
    </w:p>
    <w:p w:rsidR="00000000" w:rsidDel="00000000" w:rsidP="00000000" w:rsidRDefault="00000000" w:rsidRPr="00000000" w14:paraId="00000112">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Piedāvājumā iekļautajiem dokumentiem jābūt skaidri salasāmiem, bez labojumiem vai dzēsumiem, lai izvairītos no jebkādiem pārpratumiem. Ja pastāvēs jebkāda veida pretrunas starp oriģinālu un kopiju, noteicošais būs oriģināls. Ja pastāvēs jebkāda veida pretrunas starp skaitlisko vērtību apzīmējumiem ar vārdiem un skaitļiem, Komisija ņems vērā skaitlisko vērtību, kas apzīmēta ar vārdiem.</w:t>
      </w:r>
      <w:r w:rsidDel="00000000" w:rsidR="00000000" w:rsidRPr="00000000">
        <w:rPr>
          <w:rtl w:val="0"/>
        </w:rPr>
      </w:r>
    </w:p>
    <w:p w:rsidR="00000000" w:rsidDel="00000000" w:rsidP="00000000" w:rsidRDefault="00000000" w:rsidRPr="00000000" w14:paraId="00000113">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Pretendents piedāvājumu iesniedz piedāvājums jāiesniedz </w:t>
      </w:r>
      <w:r w:rsidDel="00000000" w:rsidR="00000000" w:rsidRPr="00000000">
        <w:rPr>
          <w:rFonts w:ascii="Times New Roman" w:cs="Times New Roman" w:eastAsia="Times New Roman" w:hAnsi="Times New Roman"/>
          <w:b w:val="1"/>
          <w:rtl w:val="0"/>
        </w:rPr>
        <w:t xml:space="preserve">latviešu valodā</w:t>
      </w:r>
      <w:r w:rsidDel="00000000" w:rsidR="00000000" w:rsidRPr="00000000">
        <w:rPr>
          <w:rFonts w:ascii="Times New Roman" w:cs="Times New Roman" w:eastAsia="Times New Roman" w:hAnsi="Times New Roman"/>
          <w:rtl w:val="0"/>
        </w:rPr>
        <w:t xml:space="preserve">. Ja pretendents iesniedz dokumentus svešvalodā, tiem jāpievieno paraksttiesīgās vai pilnvarotās personas (pievienojot pilnvaru) apliecināts tulkojums latviešu valodā. Ja kāds dokuments ir svešvalodā, tad tam jāpievieno pretendentu pārstāvēt tiesīgā personas apstiprināts tulkojums latviešu valodā. Par dokumentu tulkojuma atbilstību oriģinālam atbild pretendents. Informatīvie materiāli (piemēram, ražotāja katalogi, bukleti), kas tiek iesniegti papildus nolikuma prasībām, var tikt iesniegti arī svešvalodā. Ja pretendents iesniedz dokumentus svešvalodā, tiem jāpievieno paraksttiesīgās vai pilnvarotās personas (pievienojot pilnvaru) apliecināts tulkojums latviešu valodā.</w:t>
      </w:r>
      <w:r w:rsidDel="00000000" w:rsidR="00000000" w:rsidRPr="00000000">
        <w:rPr>
          <w:rtl w:val="0"/>
        </w:rPr>
      </w:r>
    </w:p>
    <w:p w:rsidR="00000000" w:rsidDel="00000000" w:rsidP="00000000" w:rsidRDefault="00000000" w:rsidRPr="00000000" w14:paraId="00000114">
      <w:pPr>
        <w:numPr>
          <w:ilvl w:val="2"/>
          <w:numId w:val="4"/>
        </w:numPr>
        <w:spacing w:after="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Piedāvājumam pilnībā jāatbilst nolikumā un tā pielikumos minētajām prasībām. Visi piedāvājuma pielikumi ir tā neatņemamas sastāvdaļas.</w:t>
      </w:r>
      <w:r w:rsidDel="00000000" w:rsidR="00000000" w:rsidRPr="00000000">
        <w:rPr>
          <w:rtl w:val="0"/>
        </w:rPr>
      </w:r>
    </w:p>
    <w:p w:rsidR="00000000" w:rsidDel="00000000" w:rsidP="00000000" w:rsidRDefault="00000000" w:rsidRPr="00000000" w14:paraId="00000115">
      <w:pPr>
        <w:numPr>
          <w:ilvl w:val="2"/>
          <w:numId w:val="4"/>
        </w:numPr>
        <w:spacing w:after="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 Iesniegto piedāvājumu pretendents drīkst grozīt vai atsaukt līdz nolikuma 3.3.punktā norādītā piedāvājuma iesniegšanas termiņa beigām.</w:t>
      </w:r>
      <w:r w:rsidDel="00000000" w:rsidR="00000000" w:rsidRPr="00000000">
        <w:rPr>
          <w:rFonts w:ascii="Times New Roman" w:cs="Times New Roman" w:eastAsia="Times New Roman" w:hAnsi="Times New Roman"/>
          <w:i w:val="1"/>
          <w:color w:val="ff0000"/>
          <w:rtl w:val="0"/>
        </w:rPr>
        <w:t xml:space="preserve"> </w:t>
      </w:r>
      <w:r w:rsidDel="00000000" w:rsidR="00000000" w:rsidRPr="00000000">
        <w:rPr>
          <w:rFonts w:ascii="Times New Roman" w:cs="Times New Roman" w:eastAsia="Times New Roman" w:hAnsi="Times New Roman"/>
          <w:rtl w:val="0"/>
        </w:rPr>
        <w:t xml:space="preserve">Piedāvājuma atsaukšanai ir bezierunu raksturs un tā izslēdz pretendentu no tālākas līdzdalības iepirkumā. Piedāvājuma maiņas gadījumā par piedāvājuma iesniegšanas laiku tiek uzskatīts pēdējā piedāvājuma iesniegšanas brīdis. Piedāvājuma grozījumi vai atsaukums iesniedzams, ievērojot nolikumā noteiktās noformējuma prasības un attiecīgi norādot “Piedāvājuma atsaukums” vai “Piedāvājuma grozījumi”.</w:t>
      </w:r>
      <w:r w:rsidDel="00000000" w:rsidR="00000000" w:rsidRPr="00000000">
        <w:rPr>
          <w:rtl w:val="0"/>
        </w:rPr>
      </w:r>
    </w:p>
    <w:p w:rsidR="00000000" w:rsidDel="00000000" w:rsidP="00000000" w:rsidRDefault="00000000" w:rsidRPr="00000000" w14:paraId="00000116">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Pretendents sedz visas izmaksas, kas saistītas ar tā piedāvājuma Iepirkumam sagatavošanu un iesniegšanu Pasūtītājam. </w:t>
      </w:r>
      <w:r w:rsidDel="00000000" w:rsidR="00000000" w:rsidRPr="00000000">
        <w:rPr>
          <w:rtl w:val="0"/>
        </w:rPr>
      </w:r>
    </w:p>
    <w:p w:rsidR="00000000" w:rsidDel="00000000" w:rsidP="00000000" w:rsidRDefault="00000000" w:rsidRPr="00000000" w14:paraId="00000117">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09" w:hanging="709"/>
        <w:contextualSpacing w:val="0"/>
        <w:jc w:val="both"/>
        <w:rPr/>
      </w:pPr>
      <w:r w:rsidDel="00000000" w:rsidR="00000000" w:rsidRPr="00000000">
        <w:rPr>
          <w:rFonts w:ascii="Times New Roman" w:cs="Times New Roman" w:eastAsia="Times New Roman" w:hAnsi="Times New Roman"/>
          <w:rtl w:val="0"/>
        </w:rPr>
        <w:t xml:space="preserve">Visai pretendenta piedāvājumā sniegtai informācijai ir jābūt patiesai. Ja Komisijai rodas šaubas par pretendenta piedāvājumā sniegto informācijas patiesību vai dokumenta kopijas autentiskumu, tai ir tiesības pieprasīt, lai, pretendents apstiprina informācijas patiesību un/vai uzrāda apstiprinoša dokumenta oriģinālu vai iesniedz normatīvajos aktos noteiktajā kārtībā apliecinātu dokumenta kopiju. Šajā punktā minētie dokumenti ir jāiesniedz Komisijas norādītajā termiņā.</w:t>
      </w:r>
      <w:r w:rsidDel="00000000" w:rsidR="00000000" w:rsidRPr="00000000">
        <w:rPr>
          <w:rtl w:val="0"/>
        </w:rPr>
      </w:r>
    </w:p>
    <w:p w:rsidR="00000000" w:rsidDel="00000000" w:rsidP="00000000" w:rsidRDefault="00000000" w:rsidRPr="00000000" w14:paraId="00000118">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b w:val="1"/>
          <w:rtl w:val="0"/>
        </w:rPr>
        <w:t xml:space="preserve">Pieeja iepirkuma dokumentiem un papildus informācijas saņemšana, informācijas apmaiņa:</w:t>
      </w:r>
      <w:r w:rsidDel="00000000" w:rsidR="00000000" w:rsidRPr="00000000">
        <w:rPr>
          <w:rtl w:val="0"/>
        </w:rPr>
      </w:r>
    </w:p>
    <w:p w:rsidR="00000000" w:rsidDel="00000000" w:rsidP="00000000" w:rsidRDefault="00000000" w:rsidRPr="00000000" w14:paraId="00000119">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b w:val="1"/>
          <w:rtl w:val="0"/>
        </w:rPr>
        <w:t xml:space="preserve">Pieeja iepirkuma dokumentiem: </w:t>
      </w:r>
      <w:r w:rsidDel="00000000" w:rsidR="00000000" w:rsidRPr="00000000">
        <w:rPr>
          <w:rFonts w:ascii="Times New Roman" w:cs="Times New Roman" w:eastAsia="Times New Roman" w:hAnsi="Times New Roman"/>
          <w:rtl w:val="0"/>
        </w:rPr>
        <w:t xml:space="preserve">sākot no Iepirkuma izsludināšanas brīža IUB tīmekļvietnē, Pasūtītājs nodrošina brīvu un tiešu elektronisku piekļuvi Iepirkuma dokumentiem </w:t>
      </w:r>
      <w:hyperlink r:id="rId10">
        <w:r w:rsidDel="00000000" w:rsidR="00000000" w:rsidRPr="00000000">
          <w:rPr>
            <w:rFonts w:ascii="Times New Roman" w:cs="Times New Roman" w:eastAsia="Times New Roman" w:hAnsi="Times New Roman"/>
            <w:color w:val="0000ff"/>
            <w:u w:val="single"/>
            <w:rtl w:val="0"/>
          </w:rPr>
          <w:t xml:space="preserve">www.eis.gov.lv</w:t>
        </w:r>
      </w:hyperlink>
      <w:r w:rsidDel="00000000" w:rsidR="00000000" w:rsidRPr="00000000">
        <w:rPr>
          <w:rFonts w:ascii="Times New Roman" w:cs="Times New Roman" w:eastAsia="Times New Roman" w:hAnsi="Times New Roman"/>
          <w:rtl w:val="0"/>
        </w:rPr>
        <w:t xml:space="preserve"> e-konkursu apakšsistēmā (šā Iepirkuma sadaļā), kā arī Pasūtītājs pircēja profilā </w:t>
      </w:r>
      <w:hyperlink r:id="rId11">
        <w:r w:rsidDel="00000000" w:rsidR="00000000" w:rsidRPr="00000000">
          <w:rPr>
            <w:rFonts w:ascii="Times New Roman" w:cs="Times New Roman" w:eastAsia="Times New Roman" w:hAnsi="Times New Roman"/>
            <w:color w:val="0000ff"/>
            <w:u w:val="single"/>
            <w:rtl w:val="0"/>
          </w:rPr>
          <w:t xml:space="preserve">www.lu.lv</w:t>
        </w:r>
      </w:hyperlink>
      <w:r w:rsidDel="00000000" w:rsidR="00000000" w:rsidRPr="00000000">
        <w:rPr>
          <w:rFonts w:ascii="Times New Roman" w:cs="Times New Roman" w:eastAsia="Times New Roman" w:hAnsi="Times New Roman"/>
          <w:rtl w:val="0"/>
        </w:rPr>
        <w:t xml:space="preserve">, sadaļā “Iepirkumi”.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Pasūtītājs nodrošina arī iespēju piegādātājiem iepazīties uz vietas ar Iepirkuma papildu dokumentiem, kam tehnisku iemeslu dēļ vai tajos iekļautās informācijas vai komerciālu interešu aizsardzības dēļ nav nodrošināma brīva un tieša elektroniska piekļuve, iepriekš telefoniski piesakoties pie nolikuma 1.3.2. punktā norādītās kontaktpersonas, Jelgavas ielā 1, Rīgā, 718. kabinetā, darba laikā no plkst. 8.30 līdz 17:00, pārtraukums no 12.00 līdz 12.30, sākot no Paziņojuma par līgumu publicēšanas dienas IUB tīmekļvietnē </w:t>
      </w:r>
      <w:r w:rsidDel="00000000" w:rsidR="00000000" w:rsidRPr="00000000">
        <w:rPr>
          <w:rFonts w:ascii="Times New Roman" w:cs="Times New Roman" w:eastAsia="Times New Roman" w:hAnsi="Times New Roman"/>
          <w:color w:val="000000"/>
          <w:rtl w:val="0"/>
        </w:rPr>
        <w:t xml:space="preserve">līdz </w:t>
      </w:r>
      <w:r w:rsidDel="00000000" w:rsidR="00000000" w:rsidRPr="00000000">
        <w:rPr>
          <w:rFonts w:ascii="Times New Roman" w:cs="Times New Roman" w:eastAsia="Times New Roman" w:hAnsi="Times New Roman"/>
          <w:b w:val="1"/>
          <w:color w:val="000000"/>
          <w:sz w:val="24"/>
          <w:szCs w:val="24"/>
          <w:rtl w:val="0"/>
        </w:rPr>
        <w:t xml:space="preserve">2018. gada 9.aprīlim, plkst.16.00</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tl w:val="0"/>
        </w:rPr>
      </w:r>
    </w:p>
    <w:p w:rsidR="00000000" w:rsidDel="00000000" w:rsidP="00000000" w:rsidRDefault="00000000" w:rsidRPr="00000000" w14:paraId="0000011A">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b w:val="1"/>
          <w:rtl w:val="0"/>
        </w:rPr>
        <w:t xml:space="preserve">Informācijas apmaiņa: </w:t>
      </w:r>
      <w:r w:rsidDel="00000000" w:rsidR="00000000" w:rsidRPr="00000000">
        <w:rPr>
          <w:rFonts w:ascii="Times New Roman" w:cs="Times New Roman" w:eastAsia="Times New Roman" w:hAnsi="Times New Roman"/>
          <w:rtl w:val="0"/>
        </w:rPr>
        <w:t xml:space="preserve">jautājumi par nolikumu iesniedzami pa e-pastu: </w:t>
      </w:r>
      <w:hyperlink r:id="rId12">
        <w:r w:rsidDel="00000000" w:rsidR="00000000" w:rsidRPr="00000000">
          <w:rPr>
            <w:rFonts w:ascii="Times New Roman" w:cs="Times New Roman" w:eastAsia="Times New Roman" w:hAnsi="Times New Roman"/>
            <w:color w:val="0000ff"/>
            <w:u w:val="single"/>
            <w:rtl w:val="0"/>
          </w:rPr>
          <w:t xml:space="preserve">acap-iepirkumi@</w:t>
        </w:r>
      </w:hyperlink>
      <w:r w:rsidDel="00000000" w:rsidR="00000000" w:rsidRPr="00000000">
        <w:rPr>
          <w:rFonts w:ascii="Times New Roman" w:cs="Times New Roman" w:eastAsia="Times New Roman" w:hAnsi="Times New Roman"/>
          <w:color w:val="0000ff"/>
          <w:u w:val="single"/>
          <w:rtl w:val="0"/>
        </w:rPr>
        <w:t xml:space="preserve">lu.lv</w:t>
      </w:r>
      <w:r w:rsidDel="00000000" w:rsidR="00000000" w:rsidRPr="00000000">
        <w:rPr>
          <w:rFonts w:ascii="Times New Roman" w:cs="Times New Roman" w:eastAsia="Times New Roman" w:hAnsi="Times New Roman"/>
          <w:rtl w:val="0"/>
        </w:rPr>
        <w:t xml:space="preserve">, vai iesniedzami </w:t>
      </w:r>
      <w:hyperlink r:id="rId13">
        <w:r w:rsidDel="00000000" w:rsidR="00000000" w:rsidRPr="00000000">
          <w:rPr>
            <w:rFonts w:ascii="Times New Roman" w:cs="Times New Roman" w:eastAsia="Times New Roman" w:hAnsi="Times New Roman"/>
            <w:color w:val="0000ff"/>
            <w:u w:val="single"/>
            <w:rtl w:val="0"/>
          </w:rPr>
          <w:t xml:space="preserve">www.eis.gov.lv</w:t>
        </w:r>
      </w:hyperlink>
      <w:r w:rsidDel="00000000" w:rsidR="00000000" w:rsidRPr="00000000">
        <w:rPr>
          <w:rFonts w:ascii="Times New Roman" w:cs="Times New Roman" w:eastAsia="Times New Roman" w:hAnsi="Times New Roman"/>
          <w:rtl w:val="0"/>
        </w:rPr>
        <w:t xml:space="preserve"> e-konkursu apakšsistēmā, vai pa pastu: Jelgavas ielā 1, Rīga, LV-1004, Latvijas Universitātes Akadēmiskā centra attīstības programmas daļā, 718. kabinets.</w:t>
      </w:r>
      <w:r w:rsidDel="00000000" w:rsidR="00000000" w:rsidRPr="00000000">
        <w:rPr>
          <w:rtl w:val="0"/>
        </w:rPr>
      </w:r>
    </w:p>
    <w:p w:rsidR="00000000" w:rsidDel="00000000" w:rsidP="00000000" w:rsidRDefault="00000000" w:rsidRPr="00000000" w14:paraId="0000011B">
      <w:pPr>
        <w:numPr>
          <w:ilvl w:val="2"/>
          <w:numId w:val="4"/>
        </w:numPr>
        <w:spacing w:after="0" w:before="0" w:line="240" w:lineRule="auto"/>
        <w:ind w:left="720" w:hanging="720"/>
        <w:contextualSpacing w:val="1"/>
        <w:jc w:val="both"/>
        <w:rPr/>
      </w:pPr>
      <w:r w:rsidDel="00000000" w:rsidR="00000000" w:rsidRPr="00000000">
        <w:rPr>
          <w:rFonts w:ascii="Times New Roman" w:cs="Times New Roman" w:eastAsia="Times New Roman" w:hAnsi="Times New Roman"/>
          <w:rtl w:val="0"/>
        </w:rPr>
        <w:t xml:space="preserve">Par jautājuma saņemšanas dienu tiek uzskatīts saņemšanas datums darba laikā (no pirmdienas līdz piektdienai no plkst. 8:30 līdz 17:00). Ārpus LU noteiktā darba laika pa e-pastu un/vai pa pastu saņemtais informācijas pieprasījums vai jautājums tiek uzskatīts par saņemtu nākamajā darba dienā. </w:t>
      </w:r>
      <w:r w:rsidDel="00000000" w:rsidR="00000000" w:rsidRPr="00000000">
        <w:rPr>
          <w:rtl w:val="0"/>
        </w:rPr>
      </w:r>
    </w:p>
    <w:p w:rsidR="00000000" w:rsidDel="00000000" w:rsidP="00000000" w:rsidRDefault="00000000" w:rsidRPr="00000000" w14:paraId="0000011C">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Ja ieinteresētais piegādātājs ir laikus pieprasījis papildu informāciju par Iepirkuma dokumentos iekļautajām prasībām, Pasūtītājs to sniedz  5 (piecu) darba dienu laikā no jautājuma (pieprasījuma) saņemšanas dienas, bet ne vēlāk kā 6 (sešas) kalendārās dienas pirms piedāvājumu iesniegšanas termiņa beigām. Ieinteresētā piegādātāja pieprasīto papildus informāciju  Komisija nosūta ieinteresētajam piegādātājam, kas uzdevis jautājumu, un vienlaikus ievieto šo informāciju pircēja profilā, kā arī ievieto EIS e-konkursu apakšsistēmā vietnē, </w:t>
      </w:r>
      <w:hyperlink r:id="rId14">
        <w:r w:rsidDel="00000000" w:rsidR="00000000" w:rsidRPr="00000000">
          <w:rPr>
            <w:rFonts w:ascii="Times New Roman" w:cs="Times New Roman" w:eastAsia="Times New Roman" w:hAnsi="Times New Roman"/>
            <w:color w:val="0000ff"/>
            <w:u w:val="single"/>
            <w:rtl w:val="0"/>
          </w:rPr>
          <w:t xml:space="preserve">https://www.eis.gov.lv/EKEIS/Supplier/</w:t>
        </w:r>
      </w:hyperlink>
      <w:r w:rsidDel="00000000" w:rsidR="00000000" w:rsidRPr="00000000">
        <w:rPr>
          <w:rFonts w:ascii="Times New Roman" w:cs="Times New Roman" w:eastAsia="Times New Roman" w:hAnsi="Times New Roman"/>
          <w:rtl w:val="0"/>
        </w:rPr>
        <w:t xml:space="preserve">, kur ir pieejami šā iepirkuma dokumenti.</w:t>
      </w:r>
      <w:r w:rsidDel="00000000" w:rsidR="00000000" w:rsidRPr="00000000">
        <w:rPr>
          <w:rtl w:val="0"/>
        </w:rPr>
      </w:r>
    </w:p>
    <w:p w:rsidR="00000000" w:rsidDel="00000000" w:rsidP="00000000" w:rsidRDefault="00000000" w:rsidRPr="00000000" w14:paraId="0000011D">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Ja piegādātājs pieprasa izsniegt Iepirkuma dokumentus drukātā veidā, Pasūtītājs tos izsniedz 3 (trīs) darbdienu laikā pēc tam, kad saņemts šo dokumentu pieprasījums, ievērojot nosacījumu, ka dokumentu pieprasījums iesniegts laikus pirms piedāvājumu iesniegšanas termiņa beigām. Par Iepirkuma dokumentu izsniegšanu drukātā veidā Pasūtītājs var prasīt samaksu, kas nepārsniedz faktiskos dokumentu pavairošanas un nosūtīšanas izdevumus.</w:t>
      </w:r>
      <w:r w:rsidDel="00000000" w:rsidR="00000000" w:rsidRPr="00000000">
        <w:rPr>
          <w:rtl w:val="0"/>
        </w:rPr>
      </w:r>
    </w:p>
    <w:p w:rsidR="00000000" w:rsidDel="00000000" w:rsidP="00000000" w:rsidRDefault="00000000" w:rsidRPr="00000000" w14:paraId="0000011E">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Jebkura papildu informācija, kas tiks sniegta saistībā ar Iepirkumu, tiks publicēta Pasūtītāja pircēja profilā (www.lu.lv, sadaļā “Iepirkumi”). Ieinteresētajam pretendentiem ir pienākums sekot līdzi informācijai, kas tiks publicēta par šo Iepirkumu e-konkursu apakšsistēmā vietnē, kur pieejama Iepirkuma procedūras dokumenti. Ja minētās ziņas Pasūtītājs ir ievietojis </w:t>
      </w:r>
      <w:hyperlink r:id="rId15">
        <w:r w:rsidDel="00000000" w:rsidR="00000000" w:rsidRPr="00000000">
          <w:rPr>
            <w:rFonts w:ascii="Times New Roman" w:cs="Times New Roman" w:eastAsia="Times New Roman" w:hAnsi="Times New Roman"/>
            <w:color w:val="0000ff"/>
            <w:u w:val="single"/>
            <w:rtl w:val="0"/>
          </w:rPr>
          <w:t xml:space="preserve">https://www.eis.gov.lv/EKEIS/Supplier/</w:t>
        </w:r>
      </w:hyperlink>
      <w:r w:rsidDel="00000000" w:rsidR="00000000" w:rsidRPr="00000000">
        <w:rPr>
          <w:rFonts w:ascii="Times New Roman" w:cs="Times New Roman" w:eastAsia="Times New Roman" w:hAnsi="Times New Roman"/>
          <w:rtl w:val="0"/>
        </w:rPr>
        <w:t xml:space="preserve">, tiek uzskatīts, ka ieinteresētā persona ir saņēmusi papildu informāciju Pasūtītājs nav atbildīgs par to, ja kāda ieinteresētā persona nav iepazinusies ar informāciju, kam ir nodrošināta brīva un tieša elektroniskā pieeja.</w:t>
      </w:r>
      <w:r w:rsidDel="00000000" w:rsidR="00000000" w:rsidRPr="00000000">
        <w:rPr>
          <w:rtl w:val="0"/>
        </w:rPr>
      </w:r>
    </w:p>
    <w:p w:rsidR="00000000" w:rsidDel="00000000" w:rsidP="00000000" w:rsidRDefault="00000000" w:rsidRPr="00000000" w14:paraId="0000011F">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Saskaņā ar PIL 36.panta otro, trešo un ceturto daļu, pasūtītājs papildus informāciju, informāciju par grozījumiem Iepirkuma dokumentos, kā arī citu informāciju, kas ir saistīta ar Iepirkuma, publicē </w:t>
      </w:r>
      <w:hyperlink r:id="rId16">
        <w:r w:rsidDel="00000000" w:rsidR="00000000" w:rsidRPr="00000000">
          <w:rPr>
            <w:rFonts w:ascii="Times New Roman" w:cs="Times New Roman" w:eastAsia="Times New Roman" w:hAnsi="Times New Roman"/>
            <w:color w:val="0000ff"/>
            <w:u w:val="single"/>
            <w:rtl w:val="0"/>
          </w:rPr>
          <w:t xml:space="preserve">www.eis.gov.lv</w:t>
        </w:r>
      </w:hyperlink>
      <w:r w:rsidDel="00000000" w:rsidR="00000000" w:rsidRPr="00000000">
        <w:rPr>
          <w:rFonts w:ascii="Times New Roman" w:cs="Times New Roman" w:eastAsia="Times New Roman" w:hAnsi="Times New Roman"/>
          <w:color w:val="0000ff"/>
          <w:u w:val="single"/>
          <w:rtl w:val="0"/>
        </w:rPr>
        <w:t xml:space="preserve"> e-konkursu apakšsistēmā</w:t>
      </w:r>
      <w:r w:rsidDel="00000000" w:rsidR="00000000" w:rsidRPr="00000000">
        <w:rPr>
          <w:rFonts w:ascii="Times New Roman" w:cs="Times New Roman" w:eastAsia="Times New Roman" w:hAnsi="Times New Roman"/>
          <w:rtl w:val="0"/>
        </w:rPr>
        <w:t xml:space="preserve">, kā arī papildus ievieto Pasūtītāja pircēja profilā (www.lu.lv, sadaļā “Iepirkumi”).</w:t>
      </w:r>
      <w:r w:rsidDel="00000000" w:rsidR="00000000" w:rsidRPr="00000000">
        <w:rPr>
          <w:rtl w:val="0"/>
        </w:rPr>
      </w:r>
    </w:p>
    <w:p w:rsidR="00000000" w:rsidDel="00000000" w:rsidP="00000000" w:rsidRDefault="00000000" w:rsidRPr="00000000" w14:paraId="00000120">
      <w:pPr>
        <w:numPr>
          <w:ilvl w:val="1"/>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567" w:hanging="567"/>
        <w:contextualSpacing w:val="0"/>
        <w:jc w:val="both"/>
        <w:rPr/>
      </w:pPr>
      <w:r w:rsidDel="00000000" w:rsidR="00000000" w:rsidRPr="00000000">
        <w:rPr>
          <w:rFonts w:ascii="Times New Roman" w:cs="Times New Roman" w:eastAsia="Times New Roman" w:hAnsi="Times New Roman"/>
          <w:b w:val="1"/>
          <w:rtl w:val="0"/>
        </w:rPr>
        <w:t xml:space="preserve">Piedāvājumu atvēršana:</w:t>
      </w:r>
      <w:r w:rsidDel="00000000" w:rsidR="00000000" w:rsidRPr="00000000">
        <w:rPr>
          <w:rtl w:val="0"/>
        </w:rPr>
      </w:r>
    </w:p>
    <w:p w:rsidR="00000000" w:rsidDel="00000000" w:rsidP="00000000" w:rsidRDefault="00000000" w:rsidRPr="00000000" w14:paraId="00000121">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Iesniegtie piedāvājumi tiks atvērti tūlīt pēc Iepirkuma piedāvājumu iesniegšanas termiņa beigām </w:t>
      </w:r>
      <w:r w:rsidDel="00000000" w:rsidR="00000000" w:rsidRPr="00000000">
        <w:rPr>
          <w:rFonts w:ascii="Times New Roman" w:cs="Times New Roman" w:eastAsia="Times New Roman" w:hAnsi="Times New Roman"/>
          <w:b w:val="1"/>
          <w:color w:val="000000"/>
          <w:sz w:val="24"/>
          <w:szCs w:val="24"/>
          <w:rtl w:val="0"/>
        </w:rPr>
        <w:t xml:space="preserve">2018. gada 9. aprīlī plkst. 16.00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izņemot PIL 68.panta septītajā daļā un MK noteikumu Nr.107 13.punktā minētos gadījumus. PIL 68.panta septītajā daļā minētajā gadījumā Komisija rīkojas saskaņā ar MK noteikumu Nr.107 14.punktu.</w:t>
      </w:r>
      <w:r w:rsidDel="00000000" w:rsidR="00000000" w:rsidRPr="00000000">
        <w:rPr>
          <w:rtl w:val="0"/>
        </w:rPr>
      </w:r>
    </w:p>
    <w:p w:rsidR="00000000" w:rsidDel="00000000" w:rsidP="00000000" w:rsidRDefault="00000000" w:rsidRPr="00000000" w14:paraId="00000122">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Ārpus EIS e-konkursu apakšsistēmas un pēc nolikuma 3.3.punktā noteiktā piedāvājumu iesniegšanas termiņa iesniegtie piedāvājumi netiks pieņemti un neatvērti tiks nosūtīti atpakaļ iesniedzējam.</w:t>
      </w:r>
      <w:r w:rsidDel="00000000" w:rsidR="00000000" w:rsidRPr="00000000">
        <w:rPr>
          <w:rtl w:val="0"/>
        </w:rPr>
      </w:r>
    </w:p>
    <w:p w:rsidR="00000000" w:rsidDel="00000000" w:rsidP="00000000" w:rsidRDefault="00000000" w:rsidRPr="00000000" w14:paraId="00000123">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Piedāvājumu atvēršanas sanāksme notiks LU Akadēmiskā centra attīstības programmas daļā, Jelgavas ielā 1, 717. kabinetā, Rīgā, LV-1004. </w:t>
      </w:r>
      <w:r w:rsidDel="00000000" w:rsidR="00000000" w:rsidRPr="00000000">
        <w:rPr>
          <w:rtl w:val="0"/>
        </w:rPr>
      </w:r>
    </w:p>
    <w:p w:rsidR="00000000" w:rsidDel="00000000" w:rsidP="00000000" w:rsidRDefault="00000000" w:rsidRPr="00000000" w14:paraId="00000124">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Piedāvājumu atvēršanas ir atklāta un tajā ir tiesīga piedalīties ikviena ieinteresētā persona. Iesniegto piedāvājumu atvēršanas procesam var sekot līdzi tiešsaistes režīmā EIS sistēmas e-konkursu apakšsistēmā.</w:t>
      </w:r>
      <w:r w:rsidDel="00000000" w:rsidR="00000000" w:rsidRPr="00000000">
        <w:rPr>
          <w:rtl w:val="0"/>
        </w:rPr>
      </w:r>
    </w:p>
    <w:p w:rsidR="00000000" w:rsidDel="00000000" w:rsidP="00000000" w:rsidRDefault="00000000" w:rsidRPr="00000000" w14:paraId="00000125">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Piedāvājumu atvēršana notiek izmantojot Valsts reģionālās attīstības aģentūras uzturētā tīmekļvietnē </w:t>
      </w:r>
      <w:hyperlink r:id="rId17">
        <w:r w:rsidDel="00000000" w:rsidR="00000000" w:rsidRPr="00000000">
          <w:rPr>
            <w:rFonts w:ascii="Times New Roman" w:cs="Times New Roman" w:eastAsia="Times New Roman" w:hAnsi="Times New Roman"/>
            <w:color w:val="0000ff"/>
            <w:u w:val="single"/>
            <w:rtl w:val="0"/>
          </w:rPr>
          <w:t xml:space="preserve">www.eis.gov.lv</w:t>
        </w:r>
      </w:hyperlink>
      <w:r w:rsidDel="00000000" w:rsidR="00000000" w:rsidRPr="00000000">
        <w:rPr>
          <w:rFonts w:ascii="Times New Roman" w:cs="Times New Roman" w:eastAsia="Times New Roman" w:hAnsi="Times New Roman"/>
          <w:color w:val="0000ff"/>
          <w:u w:val="single"/>
          <w:rtl w:val="0"/>
        </w:rPr>
        <w:t xml:space="preserve"> </w:t>
      </w:r>
      <w:r w:rsidDel="00000000" w:rsidR="00000000" w:rsidRPr="00000000">
        <w:rPr>
          <w:rFonts w:ascii="Times New Roman" w:cs="Times New Roman" w:eastAsia="Times New Roman" w:hAnsi="Times New Roman"/>
          <w:rtl w:val="0"/>
        </w:rPr>
        <w:t xml:space="preserve">pieejamos rīkus piedāvājumu elektroniskai saņemšanai.</w:t>
      </w:r>
      <w:r w:rsidDel="00000000" w:rsidR="00000000" w:rsidRPr="00000000">
        <w:rPr>
          <w:rtl w:val="0"/>
        </w:rPr>
      </w:r>
    </w:p>
    <w:p w:rsidR="00000000" w:rsidDel="00000000" w:rsidP="00000000" w:rsidRDefault="00000000" w:rsidRPr="00000000" w14:paraId="00000126">
      <w:pPr>
        <w:numPr>
          <w:ilvl w:val="2"/>
          <w:numId w:val="4"/>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720" w:hanging="720"/>
        <w:contextualSpacing w:val="0"/>
        <w:jc w:val="both"/>
        <w:rPr/>
      </w:pPr>
      <w:r w:rsidDel="00000000" w:rsidR="00000000" w:rsidRPr="00000000">
        <w:rPr>
          <w:rFonts w:ascii="Times New Roman" w:cs="Times New Roman" w:eastAsia="Times New Roman" w:hAnsi="Times New Roman"/>
          <w:rtl w:val="0"/>
        </w:rPr>
        <w:t xml:space="preserve">Komisija atver pretendentu piedāvājumus vienlaikus, pircēja profilā publicējot pretendentu, piedāvājuma iesniegšanas datumu un laiku un piedāvāto cenu vai izmaksas katrai Iepirkuma daļai vai visam Iepirkuma apjomam.</w:t>
      </w:r>
      <w:r w:rsidDel="00000000" w:rsidR="00000000" w:rsidRPr="00000000">
        <w:rPr>
          <w:rtl w:val="0"/>
        </w:rPr>
      </w:r>
    </w:p>
    <w:p w:rsidR="00000000" w:rsidDel="00000000" w:rsidP="00000000" w:rsidRDefault="00000000" w:rsidRPr="00000000" w14:paraId="00000127">
      <w:pPr>
        <w:spacing w:after="120" w:before="360" w:line="240" w:lineRule="auto"/>
        <w:ind w:right="4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rtl w:val="0"/>
        </w:rPr>
        <w:t xml:space="preserve">IV </w:t>
      </w:r>
      <w:r w:rsidDel="00000000" w:rsidR="00000000" w:rsidRPr="00000000">
        <w:rPr>
          <w:rFonts w:ascii="Times New Roman" w:cs="Times New Roman" w:eastAsia="Times New Roman" w:hAnsi="Times New Roman"/>
          <w:b w:val="1"/>
          <w:rtl w:val="0"/>
        </w:rPr>
        <w:t xml:space="preserve">PRETENDENTU ATLASES DOKUMENTI UN KVALIFIKĀCIJAS PRASĪBAS</w:t>
      </w:r>
      <w:r w:rsidDel="00000000" w:rsidR="00000000" w:rsidRPr="00000000">
        <w:rPr>
          <w:rtl w:val="0"/>
        </w:rPr>
      </w:r>
    </w:p>
    <w:tbl>
      <w:tblPr>
        <w:tblStyle w:val="Table2"/>
        <w:tblW w:w="8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09"/>
        <w:gridCol w:w="4409"/>
        <w:tblGridChange w:id="0">
          <w:tblGrid>
            <w:gridCol w:w="4409"/>
            <w:gridCol w:w="4409"/>
          </w:tblGrid>
        </w:tblGridChange>
      </w:tblGrid>
      <w:t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28">
            <w:pPr>
              <w:spacing w:after="120" w:before="120" w:lineRule="auto"/>
              <w:ind w:left="63" w:right="113"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Pretendentam jāatbilst šādām pretendentu atlases (kvalifikācijas) prasībām:</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29">
            <w:pPr>
              <w:spacing w:after="120" w:before="120" w:lineRule="auto"/>
              <w:ind w:left="164" w:right="122"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Pasūtītāja atlases (kvalifikācijas) prasības apliecinoši dokumenti:</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before="120" w:lineRule="auto"/>
              <w:ind w:left="63" w:right="113"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 Pretendents ir fiziska vai juridiskā persona, vai šādu personu apvienība jebkurā to kombinācijā, kas attiecīgi piedāvā piegādāt preci un atbilstoši nolikuma prasībām ir iesniegusi piedāvājumu, lai piedalītos Iepirkumā.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120" w:before="120" w:lineRule="auto"/>
              <w:ind w:left="164" w:right="122"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 Pretendenta iesniegts pieteikums dalībai Iepirkumā, kas sagatavots atbilstoši nolikuma 2. pielikumam “Pretendenta pieteikums”.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120" w:before="120" w:lineRule="auto"/>
              <w:ind w:left="63" w:right="113"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 Pretendents normatīvajos aktos noteiktajā kārtībā ir  reģistrēts Latvijas Republikas Uzņēmumu reģistra Komercreģistrā vai citā pretendenta saimnieciskai darbībai atbilstošā reģistrā, vai līdzvērtīgā reģistrā ārvalstīs, atbilstoši attiecīgās valsts normatīvo aktu prasībām.</w:t>
            </w:r>
          </w:p>
          <w:p w:rsidR="00000000" w:rsidDel="00000000" w:rsidP="00000000" w:rsidRDefault="00000000" w:rsidRPr="00000000" w14:paraId="0000012D">
            <w:pPr>
              <w:spacing w:after="120" w:before="120" w:lineRule="auto"/>
              <w:ind w:left="63" w:right="113"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spacing w:before="120" w:lineRule="auto"/>
              <w:ind w:left="63" w:right="113" w:firstLine="0"/>
              <w:contextualSpacing w:val="0"/>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120" w:before="120" w:lineRule="auto"/>
              <w:ind w:left="164" w:right="122"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4.3.2. Pretendenta reģistrācijas faktu apliecinošs dokuments (atbilstoši Latvijas normatīvo aktu prasībām).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59" w:lineRule="auto"/>
              <w:ind w:left="164" w:right="122" w:firstLine="0"/>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Piezīme: Pretendenta, kas reģistrēts Latvijas Republikā, reģistrācijas faktu Iepirkuma komisija pārbauda Uzņēmuma reģistra reģistrā vai VID, Šādā gadījumā reģistrācijas dokuments nav jāiesniedz.</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59" w:lineRule="auto"/>
              <w:ind w:left="164" w:right="122"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60" w:line="259" w:lineRule="auto"/>
              <w:ind w:left="164" w:right="122"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Ārvalstī reģistrētam pretendentam jāiesniedz kompetentas attiecīgās valsts institūcijas izsniegts dokuments (apliecināta kopija), kas apliecina pretendenta reģistrāciju atbilstoši tās valsts normatīvo aktu prasībām. </w:t>
            </w:r>
          </w:p>
          <w:p w:rsidR="00000000" w:rsidDel="00000000" w:rsidP="00000000" w:rsidRDefault="00000000" w:rsidRPr="00000000" w14:paraId="00000133">
            <w:pPr>
              <w:spacing w:after="120" w:before="120" w:lineRule="auto"/>
              <w:ind w:left="164" w:right="122"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120" w:lineRule="auto"/>
              <w:ind w:left="63" w:right="113"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 Pretendents iepriekšējo 3 (trīs) gadu periodā (2015., 2016., 2017.gadā un 2018.gadā līdz piedāvājumu iesniegšanai) ir veicis </w:t>
            </w:r>
            <w:r w:rsidDel="00000000" w:rsidR="00000000" w:rsidRPr="00000000">
              <w:rPr>
                <w:rFonts w:ascii="Times New Roman" w:cs="Times New Roman" w:eastAsia="Times New Roman" w:hAnsi="Times New Roman"/>
                <w:b w:val="1"/>
                <w:rtl w:val="0"/>
              </w:rPr>
              <w:t xml:space="preserve">vismaz 1 (vienu)</w:t>
            </w:r>
            <w:r w:rsidDel="00000000" w:rsidR="00000000" w:rsidRPr="00000000">
              <w:rPr>
                <w:rFonts w:ascii="Times New Roman" w:cs="Times New Roman" w:eastAsia="Times New Roman" w:hAnsi="Times New Roman"/>
                <w:rtl w:val="0"/>
              </w:rPr>
              <w:t xml:space="preserve"> Iepirkuma priekšmetam līdzīgu preču piegādi. </w:t>
            </w:r>
          </w:p>
          <w:p w:rsidR="00000000" w:rsidDel="00000000" w:rsidP="00000000" w:rsidRDefault="00000000" w:rsidRPr="00000000" w14:paraId="00000135">
            <w:pPr>
              <w:spacing w:after="120" w:before="120" w:lineRule="auto"/>
              <w:ind w:left="63" w:right="113" w:firstLine="0"/>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Par Iepirkuma priekšmetam līdzīgu preču piegādi ir atzīstama agrāk veikta preču piegāde, kas pēc satura ir līdzīga jeb tāda paša veida preces (preču piegādes), kas tiek iepirktas šajā iepirkumā </w:t>
            </w:r>
            <w:r w:rsidDel="00000000" w:rsidR="00000000" w:rsidRPr="00000000">
              <w:rPr>
                <w:rFonts w:ascii="Times New Roman" w:cs="Times New Roman" w:eastAsia="Times New Roman" w:hAnsi="Times New Roman"/>
                <w:u w:val="single"/>
                <w:rtl w:val="0"/>
              </w:rPr>
              <w:t xml:space="preserve">attiecīgajā Iepirkuma priekšmeta daļā.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before="120" w:lineRule="auto"/>
              <w:ind w:left="164" w:right="122"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 Pretendenta sagatavota informācija atbilstoši nolikuma 3.pielikumam “Pretendenta pieredzes apraksts”.</w:t>
            </w:r>
          </w:p>
          <w:p w:rsidR="00000000" w:rsidDel="00000000" w:rsidP="00000000" w:rsidRDefault="00000000" w:rsidRPr="00000000" w14:paraId="00000137">
            <w:pPr>
              <w:spacing w:before="120" w:lineRule="auto"/>
              <w:ind w:left="164" w:right="122"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Pretendenti, kas dibināti vēlāk, pieprasīto informāciju iesniedz par faktisko darbības periodu līdz piedāvājumu iesniegšanai.</w:t>
            </w:r>
          </w:p>
          <w:p w:rsidR="00000000" w:rsidDel="00000000" w:rsidP="00000000" w:rsidRDefault="00000000" w:rsidRPr="00000000" w14:paraId="00000138">
            <w:pPr>
              <w:spacing w:after="120" w:before="120" w:lineRule="auto"/>
              <w:ind w:left="164" w:right="122" w:firstLine="0"/>
              <w:contextualSpacing w:val="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9">
      <w:pPr>
        <w:tabs>
          <w:tab w:val="left" w:pos="0"/>
        </w:tabs>
        <w:spacing w:after="0" w:line="240" w:lineRule="auto"/>
        <w:ind w:right="28"/>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120" w:before="120" w:line="240" w:lineRule="auto"/>
        <w:ind w:left="425" w:right="28"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Piegādātāji, kas apvienojušies personu apvienībā un iesniegušo kopīgu piedāvājumu, visi kopā ir uzskatāmi par vienu pretendentu, tādējādi nolikumā noteiktās kvalifikācijas prasības ir izpildāmas visiem piegādātāju apvienības dalībniekiem kopā, izņemot nolikuma 4.2.2. un 4.3.2.punktu, kas ir izpildāms katram piegādātāju apvienības dalībniekam atsevišķi. </w:t>
      </w:r>
    </w:p>
    <w:p w:rsidR="00000000" w:rsidDel="00000000" w:rsidP="00000000" w:rsidRDefault="00000000" w:rsidRPr="00000000" w14:paraId="0000013B">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120" w:before="120" w:line="240" w:lineRule="auto"/>
        <w:ind w:left="425" w:right="28"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Iepirkuma līguma izpildē un atbildības sadalījumu.</w:t>
      </w:r>
    </w:p>
    <w:p w:rsidR="00000000" w:rsidDel="00000000" w:rsidP="00000000" w:rsidRDefault="00000000" w:rsidRPr="00000000" w14:paraId="0000013C">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120" w:before="120" w:line="240" w:lineRule="auto"/>
        <w:ind w:left="425" w:right="28"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pretendents ir piegādātāju apvienība, tad piegādātāju apvienība iesniedz apliecinājumu, ka gadījumā, ja piegādātāju apvienība tiks noteikta par uzvarētāju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Iepirkuma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p w:rsidR="00000000" w:rsidDel="00000000" w:rsidP="00000000" w:rsidRDefault="00000000" w:rsidRPr="00000000" w14:paraId="0000013D">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120" w:before="120" w:line="240" w:lineRule="auto"/>
        <w:ind w:left="425" w:right="28"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tas ir nepieciešams Iepirkuma līguma izpildei, pretendents ir tiesīgs balstīties uz citu personu iespējām, lai apliecinātu, savu atbilstību kvalifikācijas prasībām. Ja pretendents balstās uz citas personas iespējām, lai apliecinātu savu atbilstību šajā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Iepirkuma līguma izpildei.</w:t>
      </w:r>
    </w:p>
    <w:p w:rsidR="00000000" w:rsidDel="00000000" w:rsidP="00000000" w:rsidRDefault="00000000" w:rsidRPr="00000000" w14:paraId="0000013E">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0" w:before="0" w:line="240" w:lineRule="auto"/>
        <w:ind w:left="426" w:right="28" w:hanging="426"/>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Eiropas vienotais iepirkuma procedūras dokuments </w:t>
      </w:r>
      <w:r w:rsidDel="00000000" w:rsidR="00000000" w:rsidRPr="00000000">
        <w:rPr>
          <w:rFonts w:ascii="Times New Roman" w:cs="Times New Roman" w:eastAsia="Times New Roman" w:hAnsi="Times New Roman"/>
          <w:i w:val="1"/>
          <w:rtl w:val="0"/>
        </w:rPr>
        <w:t xml:space="preserve">(nav obligāts pretendentu atlases dokuments):</w:t>
      </w:r>
      <w:r w:rsidDel="00000000" w:rsidR="00000000" w:rsidRPr="00000000">
        <w:rPr>
          <w:rtl w:val="0"/>
        </w:rPr>
      </w:r>
    </w:p>
    <w:p w:rsidR="00000000" w:rsidDel="00000000" w:rsidP="00000000" w:rsidRDefault="00000000" w:rsidRPr="00000000" w14:paraId="0000013F">
      <w:pPr>
        <w:numPr>
          <w:ilvl w:val="2"/>
          <w:numId w:val="5"/>
        </w:numPr>
        <w:tabs>
          <w:tab w:val="left" w:pos="0"/>
        </w:tabs>
        <w:spacing w:after="0" w:line="240" w:lineRule="auto"/>
        <w:ind w:left="709" w:right="28"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 pieņem Eiropas vienoto iepirkuma procedūras dokumentu kā sākotnējo pierādījumu atbilstībai Paziņojumā par līgumu vai Iepirkuma dokumentos noteiktajām pretendentu atlases prasībām.  </w:t>
      </w:r>
    </w:p>
    <w:p w:rsidR="00000000" w:rsidDel="00000000" w:rsidP="00000000" w:rsidRDefault="00000000" w:rsidRPr="00000000" w14:paraId="00000140">
      <w:pPr>
        <w:numPr>
          <w:ilvl w:val="2"/>
          <w:numId w:val="5"/>
        </w:numPr>
        <w:tabs>
          <w:tab w:val="left" w:pos="0"/>
        </w:tabs>
        <w:spacing w:after="0" w:line="240" w:lineRule="auto"/>
        <w:ind w:left="709" w:right="28"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pretendents izvēlējies iesniegt Eiropas vienoto iepirkuma procedūras dokumentu, lai apliecinātu, kas tas atbilst šajā nolikumā izvirzītajām pretendentu atlases prasībām, tas iesniedz šo dokumentu, kas ir pieejams aizpildīšanai </w:t>
      </w:r>
      <w:r w:rsidDel="00000000" w:rsidR="00000000" w:rsidRPr="00000000">
        <w:rPr>
          <w:rFonts w:ascii="Times New Roman" w:cs="Times New Roman" w:eastAsia="Times New Roman" w:hAnsi="Times New Roman"/>
          <w:i w:val="1"/>
          <w:rtl w:val="0"/>
        </w:rPr>
        <w:t xml:space="preserve">.doc</w:t>
      </w:r>
      <w:r w:rsidDel="00000000" w:rsidR="00000000" w:rsidRPr="00000000">
        <w:rPr>
          <w:rFonts w:ascii="Times New Roman" w:cs="Times New Roman" w:eastAsia="Times New Roman" w:hAnsi="Times New Roman"/>
          <w:rtl w:val="0"/>
        </w:rPr>
        <w:t xml:space="preserve">  formātā   IUB tīmekļa vietnē </w:t>
      </w:r>
      <w:r w:rsidDel="00000000" w:rsidR="00000000" w:rsidRPr="00000000">
        <w:rPr>
          <w:rFonts w:ascii="Times New Roman" w:cs="Times New Roman" w:eastAsia="Times New Roman" w:hAnsi="Times New Roman"/>
          <w:color w:val="0563c1"/>
          <w:u w:val="single"/>
          <w:rtl w:val="0"/>
        </w:rPr>
        <w:t xml:space="preserve">http://www.iub.gov.lv/sites/default/files/upload/1_LV_annexe_acte_autonome_part1_v4.doc</w:t>
      </w:r>
      <w:r w:rsidDel="00000000" w:rsidR="00000000" w:rsidRPr="00000000">
        <w:rPr>
          <w:rFonts w:ascii="Times New Roman" w:cs="Times New Roman" w:eastAsia="Times New Roman" w:hAnsi="Times New Roman"/>
          <w:rtl w:val="0"/>
        </w:rPr>
        <w:t xml:space="preserve"> vai Eiropas Komisijas mājaslapā tiešsaistes režīmā: </w:t>
      </w:r>
      <w:r w:rsidDel="00000000" w:rsidR="00000000" w:rsidRPr="00000000">
        <w:rPr>
          <w:rFonts w:ascii="Times New Roman" w:cs="Times New Roman" w:eastAsia="Times New Roman" w:hAnsi="Times New Roman"/>
          <w:color w:val="0000ff"/>
          <w:u w:val="single"/>
          <w:rtl w:val="0"/>
        </w:rPr>
        <w:t xml:space="preserve">https://ec.europa.eu/growth/tools-databases/espd/filter?lang=lv</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1">
      <w:pPr>
        <w:numPr>
          <w:ilvl w:val="2"/>
          <w:numId w:val="5"/>
        </w:numPr>
        <w:tabs>
          <w:tab w:val="left" w:pos="0"/>
        </w:tabs>
        <w:spacing w:after="0" w:line="240" w:lineRule="auto"/>
        <w:ind w:left="709" w:right="28"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Piegādātāju apvienība iesniedz atsevišķu Eiropas vienoto iepirkuma procedūras dokumentu par katru tās dalībnieku.</w:t>
      </w:r>
    </w:p>
    <w:p w:rsidR="00000000" w:rsidDel="00000000" w:rsidP="00000000" w:rsidRDefault="00000000" w:rsidRPr="00000000" w14:paraId="00000142">
      <w:pPr>
        <w:numPr>
          <w:ilvl w:val="2"/>
          <w:numId w:val="5"/>
        </w:numPr>
        <w:tabs>
          <w:tab w:val="left" w:pos="0"/>
        </w:tabs>
        <w:spacing w:after="0" w:line="240" w:lineRule="auto"/>
        <w:ind w:left="709" w:right="28"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Piegādātājs var Pasūtītājam iesniegt Eiropas vienoto iepirkuma procedūras dokumentu, kas ir bijis iesniegts citā iepirkuma procedūrā, ja apliecina, ka tajā iekļautā informācija ir pareiza.</w:t>
      </w:r>
    </w:p>
    <w:p w:rsidR="00000000" w:rsidDel="00000000" w:rsidP="00000000" w:rsidRDefault="00000000" w:rsidRPr="00000000" w14:paraId="00000143">
      <w:pPr>
        <w:numPr>
          <w:ilvl w:val="2"/>
          <w:numId w:val="5"/>
        </w:numPr>
        <w:tabs>
          <w:tab w:val="left" w:pos="0"/>
        </w:tabs>
        <w:spacing w:after="0" w:line="240" w:lineRule="auto"/>
        <w:ind w:left="709" w:right="28"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Pasūtītājam jebkurā iepirkuma stadijā ir tiesības prasīt, lai pretendents iesniedz visus vai daļu no dokumentiem, kas apliecina atbilstību Paziņojumā par līgumu vai Iepirkuma dokumentos noteiktajām pretendentu atlases prasībām. </w:t>
      </w:r>
    </w:p>
    <w:p w:rsidR="00000000" w:rsidDel="00000000" w:rsidP="00000000" w:rsidRDefault="00000000" w:rsidRPr="00000000" w14:paraId="00000144">
      <w:pPr>
        <w:numPr>
          <w:ilvl w:val="2"/>
          <w:numId w:val="5"/>
        </w:numPr>
        <w:tabs>
          <w:tab w:val="left" w:pos="0"/>
        </w:tabs>
        <w:spacing w:after="0" w:line="240" w:lineRule="auto"/>
        <w:ind w:left="709" w:right="28" w:hanging="709"/>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pretendents piegādātājs izvēlējies iesniegt Eiropas vienoto iepirkuma procedūras dokumentu, lai apliecinātu, ka tas atbilst Paziņojumā par līgumu vai Iepirkuma dokumentos noteiktajām pretendentu atlases prasībām, tas iesniedz šo dokumentu arī par katru personu, uz kuras iespējām tas balstās, lai apliecinātu, ka tā kvalifikācija atbilst Paziņojumā par līgumu vai Iepirkuma dokumentos noteiktajām prasībām.</w:t>
      </w:r>
    </w:p>
    <w:p w:rsidR="00000000" w:rsidDel="00000000" w:rsidP="00000000" w:rsidRDefault="00000000" w:rsidRPr="00000000" w14:paraId="00000145">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120" w:before="120" w:line="240" w:lineRule="auto"/>
        <w:ind w:left="425" w:right="28"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Pretendenti, kuri neatbildīs nolikuma IV sadaļā norādītajām prasībām, tiks noraidīti, un to iesniegtie piedāvājumi tālāk netiks vērtēti.</w:t>
      </w:r>
    </w:p>
    <w:p w:rsidR="00000000" w:rsidDel="00000000" w:rsidP="00000000" w:rsidRDefault="00000000" w:rsidRPr="00000000" w14:paraId="00000146">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pos="0"/>
        </w:tabs>
        <w:spacing w:after="120" w:before="120" w:line="240" w:lineRule="auto"/>
        <w:ind w:left="425" w:right="28"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 nepieprasa tādus dokumentus un informāciju, kas ir tā rīcībā vai ir pieejama publiskās datubāzēs. 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contextualSpacing w:val="0"/>
        <w:jc w:val="center"/>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b w:val="1"/>
          <w:smallCaps w:val="1"/>
          <w:rtl w:val="0"/>
        </w:rPr>
        <w:t xml:space="preserve">V IZSLĒGŠANAS NOTEIKUMI</w:t>
      </w:r>
      <w:r w:rsidDel="00000000" w:rsidR="00000000" w:rsidRPr="00000000">
        <w:rPr>
          <w:rtl w:val="0"/>
        </w:rPr>
      </w:r>
    </w:p>
    <w:p w:rsidR="00000000" w:rsidDel="00000000" w:rsidP="00000000" w:rsidRDefault="00000000" w:rsidRPr="00000000" w14:paraId="00000148">
      <w:pPr>
        <w:widowControl w:val="0"/>
        <w:numPr>
          <w:ilvl w:val="1"/>
          <w:numId w:val="3"/>
        </w:numPr>
        <w:spacing w:after="120" w:before="120" w:line="240" w:lineRule="auto"/>
        <w:ind w:left="360"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 neizskata pretendenta piedāvājumu un izslēdz pretendentu no turpmākās dalības Iepirkuma procedūrā, PIL 42.panta pirmajā daļā noteiktajos gadījumos, ja pretendents atbilst PIL 42.panta pirmajā daļā noteiktajiem izslēgšanas nosacījumiem. </w:t>
      </w:r>
    </w:p>
    <w:p w:rsidR="00000000" w:rsidDel="00000000" w:rsidP="00000000" w:rsidRDefault="00000000" w:rsidRPr="00000000" w14:paraId="00000149">
      <w:pPr>
        <w:numPr>
          <w:ilvl w:val="1"/>
          <w:numId w:val="3"/>
        </w:numPr>
        <w:spacing w:after="120" w:line="240" w:lineRule="auto"/>
        <w:ind w:left="360" w:hanging="360"/>
        <w:contextualSpacing w:val="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Pasūtītājs ir tiesīgs izslēgt pretendentu no turpmākas dalības Iepirkumā šādos gadījumos: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rsidR="00000000" w:rsidDel="00000000" w:rsidP="00000000" w:rsidRDefault="00000000" w:rsidRPr="00000000" w14:paraId="0000014A">
      <w:pPr>
        <w:widowControl w:val="0"/>
        <w:numPr>
          <w:ilvl w:val="1"/>
          <w:numId w:val="3"/>
        </w:numPr>
        <w:spacing w:after="12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 pārbaudi par pretendentu izslēgšanas gadījumu esamību veic kārtībā, kāda ir noteikta PIL 42. pantā, ņemot vērā PIL 42.panta trešajā, ceturtajā, piektajā, septītajā  daļā noteikto. </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after="0" w:before="240" w:line="240" w:lineRule="auto"/>
        <w:contextualSpacing w:val="0"/>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VI UZTICAMĪBAS NODROŠINĀŠANAI IESNIEGTO PIERĀDĪJUMU </w:t>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after="240" w:line="240" w:lineRule="auto"/>
        <w:contextualSpacing w:val="0"/>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VĒRTĒŠANA</w:t>
      </w:r>
    </w:p>
    <w:p w:rsidR="00000000" w:rsidDel="00000000" w:rsidP="00000000" w:rsidRDefault="00000000" w:rsidRPr="00000000" w14:paraId="0000014D">
      <w:pPr>
        <w:numPr>
          <w:ilvl w:val="1"/>
          <w:numId w:val="9"/>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000000" w:rsidDel="00000000" w:rsidP="00000000" w:rsidRDefault="00000000" w:rsidRPr="00000000" w14:paraId="0000014E">
      <w:pPr>
        <w:numPr>
          <w:ilvl w:val="1"/>
          <w:numId w:val="9"/>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Atbilstoši PIL 43.panta trešajā daļā noteiktajam, ja pretendents neiesniedz skaidrojumu un pierādījumus, Komisija izslēdz attiecīgo pretendentu no dalības Iepirkuma kā atbilstošu PIL 42.panta pirmās daļas 1., 3., 4., 5., 6. vai 7.punktā minētajam izslēgšanas gadījumam.</w:t>
      </w:r>
    </w:p>
    <w:p w:rsidR="00000000" w:rsidDel="00000000" w:rsidP="00000000" w:rsidRDefault="00000000" w:rsidRPr="00000000" w14:paraId="0000014F">
      <w:pPr>
        <w:numPr>
          <w:ilvl w:val="1"/>
          <w:numId w:val="9"/>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Atbilstoši PIL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000000" w:rsidDel="00000000" w:rsidP="00000000" w:rsidRDefault="00000000" w:rsidRPr="00000000" w14:paraId="00000150">
      <w:pPr>
        <w:numPr>
          <w:ilvl w:val="1"/>
          <w:numId w:val="9"/>
        </w:numPr>
        <w:pBdr>
          <w:top w:color="000000" w:space="0" w:sz="0" w:val="none"/>
          <w:left w:color="000000" w:space="0" w:sz="0" w:val="none"/>
          <w:bottom w:color="000000" w:space="0" w:sz="0" w:val="none"/>
          <w:right w:color="000000" w:space="0" w:sz="0" w:val="none"/>
          <w:between w:color="000000" w:space="0" w:sz="0" w:val="none"/>
        </w:pBd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Atbilstoši PIL 43.panta piektajā daļā noteiktajam, ja Komisija veiktos pasākumus uzskata par pietiekamiem uzticamības atjaunošanai un līdzīgu gadījumu novēršanai nākotnē, tā pieņem lēmumu neizslēgt attiecīgo pretendentu no dalības Iepirkumā. Ja veiktie pasākumi ir nepietiekami, Komisija pieņem lēmumu izslēgt pretendentu no tālākas dalības Iepirkumā.</w:t>
      </w:r>
    </w:p>
    <w:p w:rsidR="00000000" w:rsidDel="00000000" w:rsidP="00000000" w:rsidRDefault="00000000" w:rsidRPr="00000000" w14:paraId="00000151">
      <w:pPr>
        <w:widowControl w:val="0"/>
        <w:spacing w:after="120" w:before="360" w:line="240" w:lineRule="auto"/>
        <w:ind w:left="567" w:hanging="567"/>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 PIEDĀVĀJUMU VĒRTĒŠANA</w:t>
      </w:r>
      <w:r w:rsidDel="00000000" w:rsidR="00000000" w:rsidRPr="00000000">
        <w:rPr>
          <w:rtl w:val="0"/>
        </w:rPr>
      </w:r>
    </w:p>
    <w:p w:rsidR="00000000" w:rsidDel="00000000" w:rsidP="00000000" w:rsidRDefault="00000000" w:rsidRPr="00000000" w14:paraId="00000152">
      <w:pPr>
        <w:widowControl w:val="0"/>
        <w:numPr>
          <w:ilvl w:val="1"/>
          <w:numId w:val="8"/>
        </w:numP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Komisija veic iesniegto pretendentu piedāvājumu vērtēšanu slēgtā sēdē un pārbauda piedāvājumu atbilstību visām šajā nolikumā noteiktajām prasībām, un izvēlas piedāvājumu saskaņā ar šādu </w:t>
      </w:r>
      <w:r w:rsidDel="00000000" w:rsidR="00000000" w:rsidRPr="00000000">
        <w:rPr>
          <w:rFonts w:ascii="Times New Roman" w:cs="Times New Roman" w:eastAsia="Times New Roman" w:hAnsi="Times New Roman"/>
          <w:b w:val="1"/>
          <w:rtl w:val="0"/>
        </w:rPr>
        <w:t xml:space="preserve">piedāvājumu izvērtēšanas (izvēles) kritēriju</w:t>
      </w:r>
      <w:r w:rsidDel="00000000" w:rsidR="00000000" w:rsidRPr="00000000">
        <w:rPr>
          <w:rFonts w:ascii="Times New Roman" w:cs="Times New Roman" w:eastAsia="Times New Roman" w:hAnsi="Times New Roman"/>
          <w:rtl w:val="0"/>
        </w:rPr>
        <w:t xml:space="preserve"> – nolikuma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prasībām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atbilstošs saimnieciski visizdevīgākais piedāvājums ar viszemāko cenu (cena kopā EUR bez PVN) attiecīgajā Iepirkuma priekšmeta daļā. </w:t>
      </w:r>
    </w:p>
    <w:p w:rsidR="00000000" w:rsidDel="00000000" w:rsidP="00000000" w:rsidRDefault="00000000" w:rsidRPr="00000000" w14:paraId="00000153">
      <w:pPr>
        <w:widowControl w:val="0"/>
        <w:numPr>
          <w:ilvl w:val="1"/>
          <w:numId w:val="8"/>
        </w:numP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Komisija ir tiesīga pretendentu kvalifikācijas atbilstības pārbaudi veikt tikai tam pretendentam, kuram būtu piešķiramas Iepirkuma līguma slēgšanas tiesības.</w:t>
      </w:r>
    </w:p>
    <w:p w:rsidR="00000000" w:rsidDel="00000000" w:rsidP="00000000" w:rsidRDefault="00000000" w:rsidRPr="00000000" w14:paraId="00000154">
      <w:pPr>
        <w:widowControl w:val="0"/>
        <w:numPr>
          <w:ilvl w:val="1"/>
          <w:numId w:val="8"/>
        </w:numP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Komisija pretendentu iesniegtos piedāvājumus katrā Iepirkuma priekšmeta daļā vērtē atsevišķi.</w:t>
      </w:r>
    </w:p>
    <w:p w:rsidR="00000000" w:rsidDel="00000000" w:rsidP="00000000" w:rsidRDefault="00000000" w:rsidRPr="00000000" w14:paraId="00000155">
      <w:pPr>
        <w:widowControl w:val="0"/>
        <w:numPr>
          <w:ilvl w:val="1"/>
          <w:numId w:val="8"/>
        </w:numPr>
        <w:spacing w:after="120" w:before="120" w:line="240" w:lineRule="auto"/>
        <w:ind w:left="426" w:hanging="42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Komisija pretendentu piedāvājumu izvērtēšanu veic 5 (piecos) posmos, katrā nākamajā posmā vērtējot tikai tos piedāvājumus, kas nav noraidīti iepriekšējā posmā:</w:t>
      </w:r>
    </w:p>
    <w:p w:rsidR="00000000" w:rsidDel="00000000" w:rsidP="00000000" w:rsidRDefault="00000000" w:rsidRPr="00000000" w14:paraId="00000156">
      <w:pPr>
        <w:widowControl w:val="0"/>
        <w:numPr>
          <w:ilvl w:val="2"/>
          <w:numId w:val="8"/>
        </w:numPr>
        <w:spacing w:after="12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 posms - Piedāvājumu noformējuma un pretendentu atlases dokumentu pārbaude: </w:t>
      </w:r>
      <w:r w:rsidDel="00000000" w:rsidR="00000000" w:rsidRPr="00000000">
        <w:rPr>
          <w:rFonts w:ascii="Times New Roman" w:cs="Times New Roman" w:eastAsia="Times New Roman" w:hAnsi="Times New Roman"/>
          <w:rtl w:val="0"/>
        </w:rPr>
        <w:t xml:space="preserve">Komisija, uzsākot piedāvājumu vērtēšanu, pārbauda piedāvājuma atbilstību noformējuma prasībām. Ja piedāvājums neatbilst kādai no noformējuma prasībām, Komisija lemj par piedāvājuma tālāku izskatīšanu. Ja Komisija konstatē, ka pretendenta piedāvājuma neatbilstība ir būtiska, tā piedāvājumu tālāk nevērtē un pretendentu no tālākās dalības Iepirkumā noraida. </w:t>
      </w:r>
    </w:p>
    <w:p w:rsidR="00000000" w:rsidDel="00000000" w:rsidP="00000000" w:rsidRDefault="00000000" w:rsidRPr="00000000" w14:paraId="00000157">
      <w:pPr>
        <w:widowControl w:val="0"/>
        <w:numPr>
          <w:ilvl w:val="2"/>
          <w:numId w:val="8"/>
        </w:numPr>
        <w:spacing w:after="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 posms - Pretendentu kvalifikācijas pārbaude: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58">
      <w:pPr>
        <w:widowControl w:val="0"/>
        <w:numPr>
          <w:ilvl w:val="3"/>
          <w:numId w:val="8"/>
        </w:numPr>
        <w:spacing w:after="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Komisija veic pretendentu kvalifikācijas pārbaudi, kuras laikā Komisija pārbauda pretendentu atbilstību nolikuma IV sadaļā noteiktajām kvalifikācijas prasībām. </w:t>
      </w:r>
    </w:p>
    <w:p w:rsidR="00000000" w:rsidDel="00000000" w:rsidP="00000000" w:rsidRDefault="00000000" w:rsidRPr="00000000" w14:paraId="00000159">
      <w:pPr>
        <w:widowControl w:val="0"/>
        <w:numPr>
          <w:ilvl w:val="3"/>
          <w:numId w:val="8"/>
        </w:numPr>
        <w:spacing w:after="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Pretendents no tālākās dalības Iepirkumā tiek noraidīts un tā piedāvājums tālāk netiek vērtēts, ja Komisija konstatē, kādu no šādiem gadījumiem: </w:t>
      </w:r>
    </w:p>
    <w:p w:rsidR="00000000" w:rsidDel="00000000" w:rsidP="00000000" w:rsidRDefault="00000000" w:rsidRPr="00000000" w14:paraId="0000015A">
      <w:pPr>
        <w:widowControl w:val="0"/>
        <w:numPr>
          <w:ilvl w:val="4"/>
          <w:numId w:val="8"/>
        </w:numPr>
        <w:spacing w:after="0" w:line="240" w:lineRule="auto"/>
        <w:ind w:left="993" w:hanging="227.00000000000003"/>
        <w:contextualSpacing w:val="0"/>
        <w:jc w:val="both"/>
        <w:rPr/>
      </w:pPr>
      <w:bookmarkStart w:colFirst="0" w:colLast="0" w:name="_1fob9te" w:id="2"/>
      <w:bookmarkEnd w:id="2"/>
      <w:r w:rsidDel="00000000" w:rsidR="00000000" w:rsidRPr="00000000">
        <w:rPr>
          <w:rFonts w:ascii="Times New Roman" w:cs="Times New Roman" w:eastAsia="Times New Roman" w:hAnsi="Times New Roman"/>
          <w:rtl w:val="0"/>
        </w:rPr>
        <w:t xml:space="preserve">pretendents neatbilst kādai no nolikuma IV sadaļā noteiktajām kvalifikācijas prasībām; </w:t>
      </w:r>
      <w:r w:rsidDel="00000000" w:rsidR="00000000" w:rsidRPr="00000000">
        <w:rPr>
          <w:rtl w:val="0"/>
        </w:rPr>
      </w:r>
    </w:p>
    <w:p w:rsidR="00000000" w:rsidDel="00000000" w:rsidP="00000000" w:rsidRDefault="00000000" w:rsidRPr="00000000" w14:paraId="0000015B">
      <w:pPr>
        <w:widowControl w:val="0"/>
        <w:numPr>
          <w:ilvl w:val="4"/>
          <w:numId w:val="8"/>
        </w:numPr>
        <w:spacing w:after="0" w:line="240" w:lineRule="auto"/>
        <w:ind w:left="993" w:hanging="227.00000000000003"/>
        <w:contextualSpacing w:val="0"/>
        <w:jc w:val="both"/>
        <w:rPr/>
      </w:pPr>
      <w:r w:rsidDel="00000000" w:rsidR="00000000" w:rsidRPr="00000000">
        <w:rPr>
          <w:rFonts w:ascii="Times New Roman" w:cs="Times New Roman" w:eastAsia="Times New Roman" w:hAnsi="Times New Roman"/>
          <w:rtl w:val="0"/>
        </w:rPr>
        <w:t xml:space="preserve">pretendents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IV sadaļā noteiktajām prasībām un to saturs neatbilst nolikuma IV sadaļā noteiktajām prasībām; </w:t>
      </w:r>
      <w:r w:rsidDel="00000000" w:rsidR="00000000" w:rsidRPr="00000000">
        <w:rPr>
          <w:rtl w:val="0"/>
        </w:rPr>
      </w:r>
    </w:p>
    <w:p w:rsidR="00000000" w:rsidDel="00000000" w:rsidP="00000000" w:rsidRDefault="00000000" w:rsidRPr="00000000" w14:paraId="0000015C">
      <w:pPr>
        <w:widowControl w:val="0"/>
        <w:numPr>
          <w:ilvl w:val="4"/>
          <w:numId w:val="8"/>
        </w:numPr>
        <w:spacing w:after="0" w:line="240" w:lineRule="auto"/>
        <w:ind w:left="993" w:hanging="227.00000000000003"/>
        <w:contextualSpacing w:val="0"/>
        <w:jc w:val="both"/>
        <w:rPr/>
      </w:pPr>
      <w:r w:rsidDel="00000000" w:rsidR="00000000" w:rsidRPr="00000000">
        <w:rPr>
          <w:rFonts w:ascii="Times New Roman" w:cs="Times New Roman" w:eastAsia="Times New Roman" w:hAnsi="Times New Roman"/>
          <w:rtl w:val="0"/>
        </w:rPr>
        <w:t xml:space="preserve">pretendents nav iesniedzis kādu no nolikuma IV sadaļā minētajiem kvalifikācijas dokumentiem. </w:t>
      </w:r>
      <w:r w:rsidDel="00000000" w:rsidR="00000000" w:rsidRPr="00000000">
        <w:rPr>
          <w:rtl w:val="0"/>
        </w:rPr>
      </w:r>
    </w:p>
    <w:p w:rsidR="00000000" w:rsidDel="00000000" w:rsidP="00000000" w:rsidRDefault="00000000" w:rsidRPr="00000000" w14:paraId="0000015D">
      <w:pPr>
        <w:widowControl w:val="0"/>
        <w:numPr>
          <w:ilvl w:val="3"/>
          <w:numId w:val="8"/>
        </w:numPr>
        <w:spacing w:after="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piedāvājumu ir iesniedzis tikai viens pretendents, Komisija sagatavo un ietver Iepirkuma ziņojumā pamatojumu tam, ka noteiktās pretendentu kvalifikācija prasības ir objektīvas un samērīgas. Ja Komisija nevar pamatot, ka noteiktās pretendentu kvalifikācijas prasības ir objektīvas un samērīgas, tā pieņem lēmumu pārtraukt Iepirkumu.</w:t>
      </w:r>
    </w:p>
    <w:p w:rsidR="00000000" w:rsidDel="00000000" w:rsidP="00000000" w:rsidRDefault="00000000" w:rsidRPr="00000000" w14:paraId="0000015E">
      <w:pPr>
        <w:widowControl w:val="0"/>
        <w:numPr>
          <w:ilvl w:val="2"/>
          <w:numId w:val="8"/>
        </w:numPr>
        <w:spacing w:after="12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3. posms - Tehniskā piedāvājuma atbilstības pārbaude: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Komisija izvērtē pretendenta tehnisko piedāvājuma atbilstību tehniskās specifikācijas minimālajām prasībām atbilstoši nolikuma 1. pielikumā “Tehniskās specifikācijas - Pretendenta tehniskais piedāvājums” noteiktajām Pasūtītāja prasībām un iesniegtajiem dokumentiem. Piedāvājumu vērtēšanas gaitā Komisija ir tiesīga pieprasīt, lai tiek izskaidrota pretendenta tehniskajā piedāvājumā iekļautā informācija, kā arī iesniegti piedāvāto preču paraugi, ja tie nepieciešami preču atbilstības novērtēšanai un pretendents ar tam pieejamiem dokumentiem nevar Komisijai pierādīt preču atbilstību. Pretendenti, kuru piedāvājumi neatbilst nolikuma noteiktajām Pasūtītāja prasībām, tiek noraidīti no tālākās dalības Iepirkumā un tā piedāvājums tālāk netiek vērtēts.</w:t>
      </w:r>
    </w:p>
    <w:p w:rsidR="00000000" w:rsidDel="00000000" w:rsidP="00000000" w:rsidRDefault="00000000" w:rsidRPr="00000000" w14:paraId="0000015F">
      <w:pPr>
        <w:widowControl w:val="0"/>
        <w:numPr>
          <w:ilvl w:val="2"/>
          <w:numId w:val="8"/>
        </w:numPr>
        <w:spacing w:after="12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4. posms - Finanšu piedāvājuma atbilstības pārbaude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Komisija izvērtē pretendentu iesniegto finanšu piedāvājumu atbilstību nolikuma 4.pielikumā “Finanšu piedāvājums” noteiktajām Pasūtītāja prasībām finanšu piedāvājuma sagatavošanā. Komisija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piedāvājumu vērtēšanas laikā pārbauda, vai finanšu piedāvājumā nav aritmētisku kļūdu. Ja Komisija konstatē šādas kļūdas, tā šīs kļūdas izlabo. Par kļūdu labojumu un laboto piedāvājuma summu Komisija paziņo pretendentam, kura pieļautās kļūdas labotas. Vērtējot pretendenta iesniegtp finanšu piedāvājumu, Komisija ņem vērā labojumus. Ja Komisijai pretendenta piedāvājums šķitīs nepamatoti lēts, tā pieprasīs pretendentam sniegt skaidrojumu par piedāvāto cenu vai izmaksām, ievērojot PIL 53.pantā noteikto.</w:t>
      </w:r>
    </w:p>
    <w:p w:rsidR="00000000" w:rsidDel="00000000" w:rsidP="00000000" w:rsidRDefault="00000000" w:rsidRPr="00000000" w14:paraId="00000160">
      <w:pPr>
        <w:widowControl w:val="0"/>
        <w:numPr>
          <w:ilvl w:val="2"/>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5. posms - Piedāvājuma izvēle:</w:t>
      </w:r>
      <w:r w:rsidDel="00000000" w:rsidR="00000000" w:rsidRPr="00000000">
        <w:rPr>
          <w:rtl w:val="0"/>
        </w:rPr>
      </w:r>
    </w:p>
    <w:p w:rsidR="00000000" w:rsidDel="00000000" w:rsidP="00000000" w:rsidRDefault="00000000" w:rsidRPr="00000000" w14:paraId="00000161">
      <w:pPr>
        <w:widowControl w:val="0"/>
        <w:numPr>
          <w:ilvl w:val="3"/>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Piedāvājumu izvēles kritērijs: </w:t>
      </w:r>
      <w:r w:rsidDel="00000000" w:rsidR="00000000" w:rsidRPr="00000000">
        <w:rPr>
          <w:rFonts w:ascii="Times New Roman" w:cs="Times New Roman" w:eastAsia="Times New Roman" w:hAnsi="Times New Roman"/>
          <w:rtl w:val="0"/>
        </w:rPr>
        <w:t xml:space="preserve">Komisija pretendentu iesniegtos piedāvājumus Iepirkumā vērtē, ņemot vērā šādu piedāvājuma izvēles kritēriju</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nolikuma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prasībām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atbilstošs saimnieciski visizdevīgākais piedāvājums ar viszemāko cenu attiecīgajā Iepirkuma priekšmeta daļā (cena kopā EUR bez PVN).</w:t>
      </w:r>
    </w:p>
    <w:p w:rsidR="00000000" w:rsidDel="00000000" w:rsidP="00000000" w:rsidRDefault="00000000" w:rsidRPr="00000000" w14:paraId="00000162">
      <w:pPr>
        <w:widowControl w:val="0"/>
        <w:numPr>
          <w:ilvl w:val="3"/>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Pēc pretendentu iesniegto piedāvājumu izvērtēšanas Komisija pieņem lēmumu par Iepirkuma līguma slēgšanas tiesību piešķiršanu par katru Iepirkuma priekšmeta daļu atsevišķi.</w:t>
      </w:r>
    </w:p>
    <w:p w:rsidR="00000000" w:rsidDel="00000000" w:rsidP="00000000" w:rsidRDefault="00000000" w:rsidRPr="00000000" w14:paraId="00000163">
      <w:pPr>
        <w:widowControl w:val="0"/>
        <w:numPr>
          <w:ilvl w:val="3"/>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pretendents, kuram Iepirkumā būtu piešķiramas Iepirkuma līguma slēgšanas tiesības attiecīgajā Iepirkuma priekšmeta daļā, ir iesniedzis Eiropas vienoto iepirkuma procedūras dokumentu kā sākotnējo pierādījumu atbilstībai pretendentu atlases (kvalifikācijas) prasībām, kas noteiktas nolikumā, Komisija pirms lēmuma pieņemšanas par Iepirkuma līguma slēgšanas tiesību piešķiršanu attiecīgajā Iepirkuma priekšmeta daļā pieprasa pretendentam iesniegt dokumentus, kas apliecina pretendenta atbilstību pretendenta atlases (kvalifikācijas) prasībām.</w:t>
      </w:r>
    </w:p>
    <w:p w:rsidR="00000000" w:rsidDel="00000000" w:rsidP="00000000" w:rsidRDefault="00000000" w:rsidRPr="00000000" w14:paraId="00000164">
      <w:pPr>
        <w:widowControl w:val="0"/>
        <w:numPr>
          <w:ilvl w:val="3"/>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Komisija, pirms lēmuma pieņemšanas par Iepirkuma līguma slēgšanas tiesību piešķiršanu attiecīgajā Iepirkuma priekšmeta daļā, lai pārliecinātos par pretendentu, kuram būtu piešķiramas Iepirkuma līguma slēgšanas tiesības attiecīgajā Iepirkuma priekšmeta daļā, ka uz viņu neattiecas nolikuma V sadaļā norādītie pretendentu izslēgšanas noteikumi, veic pārbaudi par pretendentu atbilstoši PIL 42.pantā noteiktajai kārtībai.</w:t>
      </w:r>
    </w:p>
    <w:p w:rsidR="00000000" w:rsidDel="00000000" w:rsidP="00000000" w:rsidRDefault="00000000" w:rsidRPr="00000000" w14:paraId="00000165">
      <w:pPr>
        <w:widowControl w:val="0"/>
        <w:numPr>
          <w:ilvl w:val="2"/>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Komisija pretendentam, kuram atbilstoši nolikumā noteiktajām prasībām būtu piešķiramas Iepirkuma līguma slēgšanas tiesības attiecīgajā Iepirkuma priekšmeta daļā, konstatē PIL noteikto pretendentu izslēgšanas nosacījumu esamību, </w:t>
      </w:r>
      <w:r w:rsidDel="00000000" w:rsidR="00000000" w:rsidRPr="00000000">
        <w:rPr>
          <w:rFonts w:ascii="Times New Roman" w:cs="Times New Roman" w:eastAsia="Times New Roman" w:hAnsi="Times New Roman"/>
          <w:b w:val="1"/>
          <w:rtl w:val="0"/>
        </w:rPr>
        <w:t xml:space="preserve">pretendents tiek izslēgts </w:t>
      </w:r>
      <w:r w:rsidDel="00000000" w:rsidR="00000000" w:rsidRPr="00000000">
        <w:rPr>
          <w:rFonts w:ascii="Times New Roman" w:cs="Times New Roman" w:eastAsia="Times New Roman" w:hAnsi="Times New Roman"/>
          <w:rtl w:val="0"/>
        </w:rPr>
        <w:t xml:space="preserve">no dalības Iepirkumā un Komisija izvērtē nākamā pretendenta, kuram atbilstoši nolikumā noteiktajām prasībām būtu piešķiramas Iepirkuma līguma slēgšanas tiesības attiecīgajā Iepirkuma priekšmeta daļā, atbilstību nolikuma izvirzītajiem nosacījumiem. </w:t>
      </w:r>
    </w:p>
    <w:p w:rsidR="00000000" w:rsidDel="00000000" w:rsidP="00000000" w:rsidRDefault="00000000" w:rsidRPr="00000000" w14:paraId="00000166">
      <w:pPr>
        <w:widowControl w:val="0"/>
        <w:numPr>
          <w:ilvl w:val="2"/>
          <w:numId w:val="8"/>
        </w:numPr>
        <w:spacing w:after="0" w:before="0" w:line="240" w:lineRule="auto"/>
        <w:ind w:left="720" w:hanging="72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Komisija konstatē, ka uz pretendentu, kuram atbilstoši nolikumā noteiktajām prasībām būtu piešķiramas Iepirkuma līguma slēgšanas tiesības attiecīgajā Iepirkuma priekšmeta daļā, neattiecas PIL minētie izslēgšanas nosacījumi un ka nav tādu apstākļu, kuri tam/tiem liegtu piedalīties Iepirkumā saskaņā ar PIL prasībām, tad </w:t>
      </w:r>
      <w:r w:rsidDel="00000000" w:rsidR="00000000" w:rsidRPr="00000000">
        <w:rPr>
          <w:rFonts w:ascii="Times New Roman" w:cs="Times New Roman" w:eastAsia="Times New Roman" w:hAnsi="Times New Roman"/>
          <w:b w:val="1"/>
          <w:rtl w:val="0"/>
        </w:rPr>
        <w:t xml:space="preserve">pretendents tiek atzīt par Iepirkuma uzvarētāju.</w:t>
      </w:r>
      <w:r w:rsidDel="00000000" w:rsidR="00000000" w:rsidRPr="00000000">
        <w:rPr>
          <w:rtl w:val="0"/>
        </w:rPr>
      </w:r>
    </w:p>
    <w:p w:rsidR="00000000" w:rsidDel="00000000" w:rsidP="00000000" w:rsidRDefault="00000000" w:rsidRPr="00000000" w14:paraId="00000167">
      <w:pPr>
        <w:widowControl w:val="0"/>
        <w:numPr>
          <w:ilvl w:val="3"/>
          <w:numId w:val="8"/>
        </w:numPr>
        <w:spacing w:after="120" w:before="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Pasūtītājs, pirms pieņem lēmumu par Iepirkuma līguma slēgšanas tiesību piešķiršanu attiecīgajā Iepirkuma priekšmeta daļā,  konstatē, ka vismaz divu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attiecīgajā Iepirkuma priekšmeta daļā tiks noteikts veicot izlozi pretendentu klātbūtnē.</w:t>
      </w:r>
    </w:p>
    <w:p w:rsidR="00000000" w:rsidDel="00000000" w:rsidP="00000000" w:rsidRDefault="00000000" w:rsidRPr="00000000" w14:paraId="00000168">
      <w:pPr>
        <w:widowControl w:val="0"/>
        <w:numPr>
          <w:ilvl w:val="3"/>
          <w:numId w:val="8"/>
        </w:numPr>
        <w:spacing w:after="120" w:line="240" w:lineRule="auto"/>
        <w:ind w:left="720" w:hanging="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Pasūtītāja pieņemto lēmumu paziņo visiem pretendentiem atbilstoši PIL 37.pantā noteiktajam.</w:t>
      </w:r>
    </w:p>
    <w:p w:rsidR="00000000" w:rsidDel="00000000" w:rsidP="00000000" w:rsidRDefault="00000000" w:rsidRPr="00000000" w14:paraId="00000169">
      <w:pPr>
        <w:spacing w:after="240" w:before="240" w:line="24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IEPIRKUMA LĪGUMS</w:t>
      </w:r>
    </w:p>
    <w:p w:rsidR="00000000" w:rsidDel="00000000" w:rsidP="00000000" w:rsidRDefault="00000000" w:rsidRPr="00000000" w14:paraId="0000016A">
      <w:pPr>
        <w:widowControl w:val="0"/>
        <w:numPr>
          <w:ilvl w:val="1"/>
          <w:numId w:val="1"/>
        </w:numPr>
        <w:spacing w:after="12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Iepirkuma līguma projekts ir iekļauts nolikumā (nolikuma 5.pielikumu “Piegādes līguma projekts”). Iesniedzot piedāvājumu, pretendents piekrīt visiem Iepirkuma līguma noteikumiem un apņemas tos pildīt.</w:t>
      </w:r>
    </w:p>
    <w:p w:rsidR="00000000" w:rsidDel="00000000" w:rsidP="00000000" w:rsidRDefault="00000000" w:rsidRPr="00000000" w14:paraId="0000016B">
      <w:pPr>
        <w:widowControl w:val="0"/>
        <w:numPr>
          <w:ilvl w:val="1"/>
          <w:numId w:val="1"/>
        </w:numPr>
        <w:spacing w:after="12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 slēdz Iepirkuma līgumu ar Komisijas izraudzīto piegādātāju, kurš atbilst PIL un  nolikuma prasībām un iesniedzis piedāvājumu, kas atbilst nolikumā noteiktajam piedāvājuma izvēles kritērijam - nolikuma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prasībām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atbilstošs saimnieciski visizdevīgākais piedāvājums ar viszemāko cenu attiecīgajā Iepirkuma priekšmeta daļā (cena kopā EUR bez PVN).</w:t>
      </w:r>
    </w:p>
    <w:p w:rsidR="00000000" w:rsidDel="00000000" w:rsidP="00000000" w:rsidRDefault="00000000" w:rsidRPr="00000000" w14:paraId="0000016C">
      <w:pPr>
        <w:widowControl w:val="0"/>
        <w:numPr>
          <w:ilvl w:val="1"/>
          <w:numId w:val="1"/>
        </w:numPr>
        <w:spacing w:after="12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 slēdz Iepirkuma līgumu (katrā Iepirkuma priekšmeta daļā atsevišķi) ar Komisijas izraudzīto piegādātāju, kurš iesniedzis nolikuma prasībām atbilstošu piedāvājumu attiecīgajā Iepirkuma priekšmeta daļā.</w:t>
      </w:r>
    </w:p>
    <w:p w:rsidR="00000000" w:rsidDel="00000000" w:rsidP="00000000" w:rsidRDefault="00000000" w:rsidRPr="00000000" w14:paraId="0000016D">
      <w:pPr>
        <w:widowControl w:val="0"/>
        <w:numPr>
          <w:ilvl w:val="1"/>
          <w:numId w:val="1"/>
        </w:numPr>
        <w:spacing w:after="12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Pretendents, kuram Iepirkumā piešķirtas Iepirkuma līguma slēgšanas tiesības attiecīgajā Iepirkuma priekšmeta daļā, atsakās slēgt Iepirkuma līgumu ar Pasūtītāju, Komisija lemj par iespēju Iepirkuma līguma slēgšanas tiesības attiecīgajā Iepirkuma priekšmeta daļā piešķirt nākamajam pretendentam, ņemot vērā Noteikumu Nr. 107 23. un 24. punktus.</w:t>
      </w:r>
    </w:p>
    <w:p w:rsidR="00000000" w:rsidDel="00000000" w:rsidP="00000000" w:rsidRDefault="00000000" w:rsidRPr="00000000" w14:paraId="0000016E">
      <w:pPr>
        <w:widowControl w:val="0"/>
        <w:numPr>
          <w:ilvl w:val="1"/>
          <w:numId w:val="1"/>
        </w:numPr>
        <w:spacing w:after="12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Iepirkuma līgumu attiecīgajā Iepirkuma priekšmeta daļā starp Pasūtītāju un Iepirkuma uzvarētāju noslēdz atbilstoši PIL 60.pantā noteiktajam.</w:t>
      </w:r>
    </w:p>
    <w:p w:rsidR="00000000" w:rsidDel="00000000" w:rsidP="00000000" w:rsidRDefault="00000000" w:rsidRPr="00000000" w14:paraId="0000016F">
      <w:pPr>
        <w:spacing w:after="120" w:before="120"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IX CITI NOTEIKUMI </w:t>
      </w:r>
      <w:r w:rsidDel="00000000" w:rsidR="00000000" w:rsidRPr="00000000">
        <w:rPr>
          <w:rtl w:val="0"/>
        </w:rPr>
      </w:r>
    </w:p>
    <w:p w:rsidR="00000000" w:rsidDel="00000000" w:rsidP="00000000" w:rsidRDefault="00000000" w:rsidRPr="00000000" w14:paraId="00000170">
      <w:pPr>
        <w:widowControl w:val="0"/>
        <w:spacing w:after="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Komisijas, piegādātāju un pretendentu tiesības un pienākumus regulē PIL, MK noteikumi Nr.107 un šis nolikums.</w:t>
      </w:r>
    </w:p>
    <w:p w:rsidR="00000000" w:rsidDel="00000000" w:rsidP="00000000" w:rsidRDefault="00000000" w:rsidRPr="00000000" w14:paraId="00000171">
      <w:pPr>
        <w:widowControl w:val="0"/>
        <w:spacing w:after="0" w:before="120" w:line="240" w:lineRule="auto"/>
        <w:ind w:left="425" w:hanging="42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Visi jautājumi, kas nav atrunāti šajā nolikumā, tiek risināti saskaņā ar PIL un MK noteikumu Nr.107 normām.</w:t>
      </w:r>
    </w:p>
    <w:p w:rsidR="00000000" w:rsidDel="00000000" w:rsidP="00000000" w:rsidRDefault="00000000" w:rsidRPr="00000000" w14:paraId="00000172">
      <w:pPr>
        <w:widowControl w:val="0"/>
        <w:spacing w:after="0" w:before="120" w:line="240" w:lineRule="auto"/>
        <w:ind w:left="425" w:hanging="425"/>
        <w:contextualSpacing w:val="0"/>
        <w:jc w:val="both"/>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9.4. Nolikumam ir pievienoti šādi pielikumi:</w:t>
      </w:r>
    </w:p>
    <w:p w:rsidR="00000000" w:rsidDel="00000000" w:rsidP="00000000" w:rsidRDefault="00000000" w:rsidRPr="00000000" w14:paraId="00000173">
      <w:pPr>
        <w:spacing w:after="0" w:line="240" w:lineRule="auto"/>
        <w:ind w:left="426" w:right="26"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1.pielikums – Tehniskās specifikācijas - Pretendenta tehniskais piedāvājums;</w:t>
      </w:r>
    </w:p>
    <w:p w:rsidR="00000000" w:rsidDel="00000000" w:rsidP="00000000" w:rsidRDefault="00000000" w:rsidRPr="00000000" w14:paraId="00000174">
      <w:pPr>
        <w:spacing w:after="0" w:line="240" w:lineRule="auto"/>
        <w:ind w:left="426" w:right="26"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2.pielikums – Pretendenta pieteikums </w:t>
      </w:r>
      <w:r w:rsidDel="00000000" w:rsidR="00000000" w:rsidRPr="00000000">
        <w:rPr>
          <w:rFonts w:ascii="Times New Roman" w:cs="Times New Roman" w:eastAsia="Times New Roman" w:hAnsi="Times New Roman"/>
          <w:i w:val="1"/>
          <w:rtl w:val="0"/>
        </w:rPr>
        <w:t xml:space="preserve">(veidne)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5">
      <w:pPr>
        <w:tabs>
          <w:tab w:val="left" w:pos="1418"/>
          <w:tab w:val="left" w:pos="9072"/>
        </w:tabs>
        <w:spacing w:after="0" w:line="240" w:lineRule="auto"/>
        <w:ind w:left="426"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3.pielikums – Pretendenta pieredzes apraksts  </w:t>
      </w:r>
      <w:r w:rsidDel="00000000" w:rsidR="00000000" w:rsidRPr="00000000">
        <w:rPr>
          <w:rFonts w:ascii="Times New Roman" w:cs="Times New Roman" w:eastAsia="Times New Roman" w:hAnsi="Times New Roman"/>
          <w:i w:val="1"/>
          <w:rtl w:val="0"/>
        </w:rPr>
        <w:t xml:space="preserve">(veidne)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6">
      <w:pPr>
        <w:spacing w:after="0" w:line="240" w:lineRule="auto"/>
        <w:ind w:left="426" w:right="26"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4.pielikums – Finanšu piedāvājums (</w:t>
      </w:r>
      <w:r w:rsidDel="00000000" w:rsidR="00000000" w:rsidRPr="00000000">
        <w:rPr>
          <w:rFonts w:ascii="Times New Roman" w:cs="Times New Roman" w:eastAsia="Times New Roman" w:hAnsi="Times New Roman"/>
          <w:i w:val="1"/>
          <w:rtl w:val="0"/>
        </w:rPr>
        <w:t xml:space="preserve">veidne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7">
      <w:pPr>
        <w:spacing w:after="0" w:line="240" w:lineRule="auto"/>
        <w:ind w:left="426" w:right="26"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5.pielikums – Piegādes līgums (projekts).</w:t>
      </w:r>
    </w:p>
    <w:p w:rsidR="00000000" w:rsidDel="00000000" w:rsidP="00000000" w:rsidRDefault="00000000" w:rsidRPr="00000000" w14:paraId="00000178">
      <w:pPr>
        <w:spacing w:after="0" w:line="240" w:lineRule="auto"/>
        <w:ind w:left="426" w:right="26"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spacing w:after="0" w:line="240" w:lineRule="auto"/>
        <w:ind w:left="426" w:right="26" w:firstLine="0"/>
        <w:contextualSpacing w:val="0"/>
        <w:jc w:val="both"/>
        <w:rPr>
          <w:rFonts w:ascii="Times New Roman" w:cs="Times New Roman" w:eastAsia="Times New Roman" w:hAnsi="Times New Roman"/>
        </w:rPr>
      </w:pPr>
      <w:r w:rsidDel="00000000" w:rsidR="00000000" w:rsidRPr="00000000">
        <w:rPr>
          <w:rtl w:val="0"/>
        </w:rPr>
      </w:r>
    </w:p>
    <w:sectPr>
      <w:headerReference r:id="rId18" w:type="default"/>
      <w:footerReference r:id="rId19" w:type="default"/>
      <w:pgSz w:h="16838" w:w="11906"/>
      <w:pgMar w:bottom="993" w:top="1134" w:left="1701" w:right="1134" w:header="709" w:footer="4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tabs>
        <w:tab w:val="center" w:pos="4153"/>
        <w:tab w:val="right" w:pos="8306"/>
      </w:tabs>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Latvijas Universitātes</w:t>
    </w:r>
  </w:p>
  <w:p w:rsidR="00000000" w:rsidDel="00000000" w:rsidP="00000000" w:rsidRDefault="00000000" w:rsidRPr="00000000" w14:paraId="0000017B">
    <w:pPr>
      <w:tabs>
        <w:tab w:val="center" w:pos="4153"/>
        <w:tab w:val="right" w:pos="8306"/>
      </w:tabs>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atklāta konkursa </w:t>
    </w:r>
  </w:p>
  <w:p w:rsidR="00000000" w:rsidDel="00000000" w:rsidP="00000000" w:rsidRDefault="00000000" w:rsidRPr="00000000" w14:paraId="0000017C">
    <w:pPr>
      <w:spacing w:after="0" w:line="240" w:lineRule="auto"/>
      <w:contextualSpacing w:val="0"/>
      <w:jc w:val="center"/>
      <w:rPr>
        <w:rFonts w:ascii="Times New Roman" w:cs="Times New Roman" w:eastAsia="Times New Roman" w:hAnsi="Times New Roman"/>
        <w:sz w:val="14"/>
        <w:szCs w:val="1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Laboratoriju iekārtu pētniecībai un studiju programmām piegāde un uzstādīšana</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7D">
    <w:pPr>
      <w:tabs>
        <w:tab w:val="center" w:pos="4153"/>
        <w:tab w:val="right" w:pos="8306"/>
      </w:tabs>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(iepirkuma identifikācijas Nr.LU </w:t>
    </w:r>
    <w:r w:rsidDel="00000000" w:rsidR="00000000" w:rsidRPr="00000000">
      <w:rPr>
        <w:rFonts w:ascii="Times New Roman" w:cs="Times New Roman" w:eastAsia="Times New Roman" w:hAnsi="Times New Roman"/>
        <w:color w:val="000000"/>
        <w:sz w:val="20"/>
        <w:szCs w:val="20"/>
        <w:rtl w:val="0"/>
      </w:rPr>
      <w:t xml:space="preserve">2018/19_ERAF</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7E">
    <w:pPr>
      <w:tabs>
        <w:tab w:val="center" w:pos="4153"/>
        <w:tab w:val="right" w:pos="8306"/>
      </w:tabs>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O L I K U M S</w:t>
    </w:r>
  </w:p>
  <w:p w:rsidR="00000000" w:rsidDel="00000000" w:rsidP="00000000" w:rsidRDefault="00000000" w:rsidRPr="00000000" w14:paraId="0000017F">
    <w:pPr>
      <w:spacing w:after="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right"/>
      <w:pPr>
        <w:ind w:left="708" w:hanging="360"/>
      </w:pPr>
      <w:rPr/>
    </w:lvl>
    <w:lvl w:ilvl="1">
      <w:start w:val="1"/>
      <w:numFmt w:val="lowerLetter"/>
      <w:lvlText w:val="%2."/>
      <w:lvlJc w:val="left"/>
      <w:pPr>
        <w:ind w:left="1428" w:hanging="360"/>
      </w:pPr>
      <w:rPr/>
    </w:lvl>
    <w:lvl w:ilvl="2">
      <w:start w:val="1"/>
      <w:numFmt w:val="lowerRoman"/>
      <w:lvlText w:val="%3."/>
      <w:lvlJc w:val="right"/>
      <w:pPr>
        <w:ind w:left="2148" w:hanging="180"/>
      </w:pPr>
      <w:rPr/>
    </w:lvl>
    <w:lvl w:ilvl="3">
      <w:start w:val="1"/>
      <w:numFmt w:val="decimal"/>
      <w:lvlText w:val="%4."/>
      <w:lvlJc w:val="left"/>
      <w:pPr>
        <w:ind w:left="2868" w:hanging="360"/>
      </w:pPr>
      <w:rPr/>
    </w:lvl>
    <w:lvl w:ilvl="4">
      <w:start w:val="1"/>
      <w:numFmt w:val="lowerLetter"/>
      <w:lvlText w:val="%5."/>
      <w:lvlJc w:val="left"/>
      <w:pPr>
        <w:ind w:left="3588" w:hanging="360"/>
      </w:pPr>
      <w:rPr/>
    </w:lvl>
    <w:lvl w:ilvl="5">
      <w:start w:val="1"/>
      <w:numFmt w:val="lowerRoman"/>
      <w:lvlText w:val="%6."/>
      <w:lvlJc w:val="right"/>
      <w:pPr>
        <w:ind w:left="4308" w:hanging="180"/>
      </w:pPr>
      <w:rPr/>
    </w:lvl>
    <w:lvl w:ilvl="6">
      <w:start w:val="1"/>
      <w:numFmt w:val="decimal"/>
      <w:lvlText w:val="%7."/>
      <w:lvlJc w:val="left"/>
      <w:pPr>
        <w:ind w:left="5028" w:hanging="360"/>
      </w:pPr>
      <w:rPr/>
    </w:lvl>
    <w:lvl w:ilvl="7">
      <w:start w:val="1"/>
      <w:numFmt w:val="lowerLetter"/>
      <w:lvlText w:val="%8."/>
      <w:lvlJc w:val="left"/>
      <w:pPr>
        <w:ind w:left="5748" w:hanging="360"/>
      </w:pPr>
      <w:rPr/>
    </w:lvl>
    <w:lvl w:ilvl="8">
      <w:start w:val="1"/>
      <w:numFmt w:val="lowerRoman"/>
      <w:lvlText w:val="%9."/>
      <w:lvlJc w:val="right"/>
      <w:pPr>
        <w:ind w:left="6468" w:hanging="180"/>
      </w:pPr>
      <w:rPr/>
    </w:lvl>
  </w:abstractNum>
  <w:abstractNum w:abstractNumId="3">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3"/>
      <w:numFmt w:val="decimal"/>
      <w:lvlText w:val="%1."/>
      <w:lvlJc w:val="left"/>
      <w:pPr>
        <w:ind w:left="360" w:hanging="360"/>
      </w:pPr>
      <w:rPr>
        <w:rFonts w:ascii="Calibri" w:cs="Calibri" w:eastAsia="Calibri" w:hAnsi="Calibri"/>
        <w:sz w:val="22"/>
        <w:szCs w:val="22"/>
      </w:rPr>
    </w:lvl>
    <w:lvl w:ilvl="1">
      <w:start w:val="1"/>
      <w:numFmt w:val="decimal"/>
      <w:lvlText w:val="%1.%2."/>
      <w:lvlJc w:val="left"/>
      <w:pPr>
        <w:ind w:left="360" w:hanging="360"/>
      </w:pPr>
      <w:rPr>
        <w:rFonts w:ascii="Times New Roman" w:cs="Times New Roman" w:eastAsia="Times New Roman" w:hAnsi="Times New Roman"/>
        <w:b w:val="0"/>
        <w:i w:val="0"/>
        <w:color w:val="000000"/>
        <w:sz w:val="22"/>
        <w:szCs w:val="22"/>
      </w:rPr>
    </w:lvl>
    <w:lvl w:ilvl="2">
      <w:start w:val="1"/>
      <w:numFmt w:val="decimal"/>
      <w:lvlText w:val="%1.%2.%3."/>
      <w:lvlJc w:val="left"/>
      <w:pPr>
        <w:ind w:left="720" w:hanging="720"/>
      </w:pPr>
      <w:rPr>
        <w:rFonts w:ascii="Times New Roman" w:cs="Times New Roman" w:eastAsia="Times New Roman" w:hAnsi="Times New Roman"/>
        <w:b w:val="0"/>
        <w:i w:val="0"/>
        <w:color w:val="000000"/>
        <w:sz w:val="22"/>
        <w:szCs w:val="22"/>
        <w:u w:val="none"/>
      </w:rPr>
    </w:lvl>
    <w:lvl w:ilvl="3">
      <w:start w:val="1"/>
      <w:numFmt w:val="decimal"/>
      <w:lvlText w:val="%1.%2.%3.%4."/>
      <w:lvlJc w:val="left"/>
      <w:pPr>
        <w:ind w:left="720" w:hanging="720"/>
      </w:pPr>
      <w:rPr>
        <w:rFonts w:ascii="Calibri" w:cs="Calibri" w:eastAsia="Calibri" w:hAnsi="Calibri"/>
        <w:sz w:val="22"/>
        <w:szCs w:val="22"/>
      </w:rPr>
    </w:lvl>
    <w:lvl w:ilvl="4">
      <w:start w:val="1"/>
      <w:numFmt w:val="decimal"/>
      <w:lvlText w:val="%1.%2.%3.%4.%5."/>
      <w:lvlJc w:val="left"/>
      <w:pPr>
        <w:ind w:left="1080" w:hanging="1080"/>
      </w:pPr>
      <w:rPr>
        <w:rFonts w:ascii="Calibri" w:cs="Calibri" w:eastAsia="Calibri" w:hAnsi="Calibri"/>
        <w:sz w:val="22"/>
        <w:szCs w:val="22"/>
      </w:rPr>
    </w:lvl>
    <w:lvl w:ilvl="5">
      <w:start w:val="1"/>
      <w:numFmt w:val="decimal"/>
      <w:lvlText w:val="%1.%2.%3.%4.%5.%6."/>
      <w:lvlJc w:val="left"/>
      <w:pPr>
        <w:ind w:left="1080" w:hanging="1080"/>
      </w:pPr>
      <w:rPr>
        <w:rFonts w:ascii="Calibri" w:cs="Calibri" w:eastAsia="Calibri" w:hAnsi="Calibri"/>
        <w:sz w:val="22"/>
        <w:szCs w:val="22"/>
      </w:rPr>
    </w:lvl>
    <w:lvl w:ilvl="6">
      <w:start w:val="1"/>
      <w:numFmt w:val="decimal"/>
      <w:lvlText w:val="%1.%2.%3.%4.%5.%6.%7."/>
      <w:lvlJc w:val="left"/>
      <w:pPr>
        <w:ind w:left="1080" w:hanging="1080"/>
      </w:pPr>
      <w:rPr>
        <w:rFonts w:ascii="Calibri" w:cs="Calibri" w:eastAsia="Calibri" w:hAnsi="Calibri"/>
        <w:sz w:val="22"/>
        <w:szCs w:val="22"/>
      </w:rPr>
    </w:lvl>
    <w:lvl w:ilvl="7">
      <w:start w:val="1"/>
      <w:numFmt w:val="decimal"/>
      <w:lvlText w:val="%1.%2.%3.%4.%5.%6.%7.%8."/>
      <w:lvlJc w:val="left"/>
      <w:pPr>
        <w:ind w:left="1440" w:hanging="1440"/>
      </w:pPr>
      <w:rPr>
        <w:rFonts w:ascii="Calibri" w:cs="Calibri" w:eastAsia="Calibri" w:hAnsi="Calibri"/>
        <w:sz w:val="22"/>
        <w:szCs w:val="22"/>
      </w:rPr>
    </w:lvl>
    <w:lvl w:ilvl="8">
      <w:start w:val="1"/>
      <w:numFmt w:val="decimal"/>
      <w:lvlText w:val="%1.%2.%3.%4.%5.%6.%7.%8.%9."/>
      <w:lvlJc w:val="left"/>
      <w:pPr>
        <w:ind w:left="1440" w:hanging="1440"/>
      </w:pPr>
      <w:rPr>
        <w:rFonts w:ascii="Calibri" w:cs="Calibri" w:eastAsia="Calibri" w:hAnsi="Calibri"/>
        <w:sz w:val="22"/>
        <w:szCs w:val="22"/>
      </w:rPr>
    </w:lvl>
  </w:abstractNum>
  <w:abstractNum w:abstractNumId="5">
    <w:lvl w:ilvl="0">
      <w:start w:val="4"/>
      <w:numFmt w:val="decimal"/>
      <w:lvlText w:val="%1."/>
      <w:lvlJc w:val="left"/>
      <w:pPr>
        <w:ind w:left="360" w:hanging="360"/>
      </w:pPr>
      <w:rPr>
        <w:b w:val="1"/>
        <w:u w:val="single"/>
        <w:vertAlign w:val="baseline"/>
      </w:rPr>
    </w:lvl>
    <w:lvl w:ilvl="1">
      <w:start w:val="4"/>
      <w:numFmt w:val="decimal"/>
      <w:lvlText w:val="%1.%2."/>
      <w:lvlJc w:val="left"/>
      <w:pPr>
        <w:ind w:left="360" w:hanging="360"/>
      </w:pPr>
      <w:rPr>
        <w:b w:val="0"/>
        <w:sz w:val="22"/>
        <w:szCs w:val="22"/>
        <w:u w:val="none"/>
        <w:vertAlign w:val="baseline"/>
      </w:rPr>
    </w:lvl>
    <w:lvl w:ilvl="2">
      <w:start w:val="1"/>
      <w:numFmt w:val="decimal"/>
      <w:lvlText w:val="%1.%2.%3."/>
      <w:lvlJc w:val="left"/>
      <w:pPr>
        <w:ind w:left="720" w:hanging="720"/>
      </w:pPr>
      <w:rPr>
        <w:b w:val="0"/>
        <w:u w:val="none"/>
        <w:vertAlign w:val="baseline"/>
      </w:rPr>
    </w:lvl>
    <w:lvl w:ilvl="3">
      <w:start w:val="1"/>
      <w:numFmt w:val="decimal"/>
      <w:lvlText w:val="%1.%2.%3.%4."/>
      <w:lvlJc w:val="left"/>
      <w:pPr>
        <w:ind w:left="720" w:hanging="720"/>
      </w:pPr>
      <w:rPr>
        <w:b w:val="1"/>
        <w:u w:val="single"/>
        <w:vertAlign w:val="baseline"/>
      </w:rPr>
    </w:lvl>
    <w:lvl w:ilvl="4">
      <w:start w:val="1"/>
      <w:numFmt w:val="decimal"/>
      <w:lvlText w:val="%1.%2.%3.%4.%5."/>
      <w:lvlJc w:val="left"/>
      <w:pPr>
        <w:ind w:left="1080" w:hanging="1080"/>
      </w:pPr>
      <w:rPr>
        <w:b w:val="1"/>
        <w:u w:val="single"/>
        <w:vertAlign w:val="baseline"/>
      </w:rPr>
    </w:lvl>
    <w:lvl w:ilvl="5">
      <w:start w:val="1"/>
      <w:numFmt w:val="decimal"/>
      <w:lvlText w:val="%1.%2.%3.%4.%5.%6."/>
      <w:lvlJc w:val="left"/>
      <w:pPr>
        <w:ind w:left="1080" w:hanging="1080"/>
      </w:pPr>
      <w:rPr>
        <w:b w:val="1"/>
        <w:u w:val="single"/>
        <w:vertAlign w:val="baseline"/>
      </w:rPr>
    </w:lvl>
    <w:lvl w:ilvl="6">
      <w:start w:val="1"/>
      <w:numFmt w:val="decimal"/>
      <w:lvlText w:val="%1.%2.%3.%4.%5.%6.%7."/>
      <w:lvlJc w:val="left"/>
      <w:pPr>
        <w:ind w:left="1440" w:hanging="1440"/>
      </w:pPr>
      <w:rPr>
        <w:b w:val="1"/>
        <w:u w:val="single"/>
        <w:vertAlign w:val="baseline"/>
      </w:rPr>
    </w:lvl>
    <w:lvl w:ilvl="7">
      <w:start w:val="1"/>
      <w:numFmt w:val="decimal"/>
      <w:lvlText w:val="%1.%2.%3.%4.%5.%6.%7.%8."/>
      <w:lvlJc w:val="left"/>
      <w:pPr>
        <w:ind w:left="1440" w:hanging="1440"/>
      </w:pPr>
      <w:rPr>
        <w:b w:val="1"/>
        <w:u w:val="single"/>
        <w:vertAlign w:val="baseline"/>
      </w:rPr>
    </w:lvl>
    <w:lvl w:ilvl="8">
      <w:start w:val="1"/>
      <w:numFmt w:val="decimal"/>
      <w:lvlText w:val="%1.%2.%3.%4.%5.%6.%7.%8.%9."/>
      <w:lvlJc w:val="left"/>
      <w:pPr>
        <w:ind w:left="1800" w:hanging="1800"/>
      </w:pPr>
      <w:rPr>
        <w:b w:val="1"/>
        <w:u w:val="single"/>
        <w:vertAlign w:val="baseline"/>
      </w:rPr>
    </w:lvl>
  </w:abstractNum>
  <w:abstractNum w:abstractNumId="6">
    <w:lvl w:ilvl="0">
      <w:start w:val="1"/>
      <w:numFmt w:val="decimal"/>
      <w:lvlText w:val="%1."/>
      <w:lvlJc w:val="left"/>
      <w:pPr>
        <w:ind w:left="7620" w:hanging="420"/>
      </w:pPr>
      <w:rPr>
        <w:vertAlign w:val="baseline"/>
      </w:rPr>
    </w:lvl>
    <w:lvl w:ilvl="1">
      <w:start w:val="1"/>
      <w:numFmt w:val="decimal"/>
      <w:lvlText w:val="1.%2."/>
      <w:lvlJc w:val="left"/>
      <w:pPr>
        <w:ind w:left="420" w:hanging="420"/>
      </w:pPr>
      <w:rPr>
        <w:b w:val="0"/>
        <w:vertAlign w:val="baseline"/>
      </w:rPr>
    </w:lvl>
    <w:lvl w:ilvl="2">
      <w:start w:val="1"/>
      <w:numFmt w:val="decimal"/>
      <w:lvlText w:val="%1.%2.%3."/>
      <w:lvlJc w:val="left"/>
      <w:pPr>
        <w:ind w:left="720" w:hanging="720"/>
      </w:pPr>
      <w:rPr>
        <w:rFonts w:ascii="Times New Roman" w:cs="Times New Roman" w:eastAsia="Times New Roman" w:hAnsi="Times New Roman"/>
        <w:b w:val="0"/>
        <w:sz w:val="22"/>
        <w:szCs w:val="22"/>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8">
    <w:lvl w:ilvl="0">
      <w:start w:val="7"/>
      <w:numFmt w:val="decimal"/>
      <w:lvlText w:val="%1."/>
      <w:lvlJc w:val="left"/>
      <w:pPr>
        <w:ind w:left="360" w:hanging="360"/>
      </w:pPr>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rPr>
        <w:sz w:val="22"/>
        <w:szCs w:val="22"/>
      </w:rPr>
    </w:lvl>
    <w:lvl w:ilvl="4">
      <w:start w:val="1"/>
      <w:numFmt w:val="lowerLetter"/>
      <w:lvlText w:val="%5)"/>
      <w:lvlJc w:val="left"/>
      <w:pPr>
        <w:ind w:left="1080" w:hanging="1080"/>
      </w:pPr>
      <w:rPr>
        <w:rFonts w:ascii="Times New Roman" w:cs="Times New Roman" w:eastAsia="Times New Roman" w:hAnsi="Times New Roman"/>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lv-L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u.lv" TargetMode="External"/><Relationship Id="rId10" Type="http://schemas.openxmlformats.org/officeDocument/2006/relationships/hyperlink" Target="http://www.eis.gov.lv" TargetMode="External"/><Relationship Id="rId13" Type="http://schemas.openxmlformats.org/officeDocument/2006/relationships/hyperlink" Target="http://www.eis.gov.lv" TargetMode="External"/><Relationship Id="rId12" Type="http://schemas.openxmlformats.org/officeDocument/2006/relationships/hyperlink" Target="mailto:sintija.simane@lu.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is.gov.lv/EIS/Publications/PublicationView.aspx?PublicationId=4&amp;systemCode=CORE" TargetMode="External"/><Relationship Id="rId15" Type="http://schemas.openxmlformats.org/officeDocument/2006/relationships/hyperlink" Target="https://www.eis.gov.lv/EKEIS/Supplier/" TargetMode="External"/><Relationship Id="rId14" Type="http://schemas.openxmlformats.org/officeDocument/2006/relationships/hyperlink" Target="https://www.eis.gov.lv/EKEIS/Supplier/" TargetMode="External"/><Relationship Id="rId17" Type="http://schemas.openxmlformats.org/officeDocument/2006/relationships/hyperlink" Target="http://www.eis.gov.lv" TargetMode="External"/><Relationship Id="rId16" Type="http://schemas.openxmlformats.org/officeDocument/2006/relationships/hyperlink" Target="http://www.eis.gov.lv"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header" Target="header1.xml"/><Relationship Id="rId7" Type="http://schemas.openxmlformats.org/officeDocument/2006/relationships/hyperlink" Target="http://www.lu.lv" TargetMode="External"/><Relationship Id="rId8" Type="http://schemas.openxmlformats.org/officeDocument/2006/relationships/hyperlink" Target="mailto:sintija.simane@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