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F42B0" w14:textId="77777777" w:rsidR="00E1020E" w:rsidRDefault="00E1020E" w:rsidP="008B2D87">
      <w:pPr>
        <w:spacing w:after="200" w:line="276" w:lineRule="auto"/>
        <w:jc w:val="center"/>
        <w:rPr>
          <w:rFonts w:eastAsia="Calibri"/>
          <w:b/>
          <w:caps/>
          <w:sz w:val="22"/>
          <w:szCs w:val="20"/>
        </w:rPr>
      </w:pPr>
      <w:permStart w:id="1893343399" w:edGrp="everyone"/>
      <w:r w:rsidRPr="00E1020E">
        <w:rPr>
          <w:rFonts w:eastAsia="Calibri"/>
          <w:b/>
          <w:caps/>
          <w:sz w:val="22"/>
          <w:szCs w:val="20"/>
        </w:rPr>
        <w:t>Dynamic laser speckle imaging for fast evaluation of the antibacterial susceptibility by the disc diffusion method</w:t>
      </w:r>
    </w:p>
    <w:p w14:paraId="7587B3B1" w14:textId="00A6B0C9" w:rsidR="00F51598" w:rsidRPr="00BF1F1D" w:rsidRDefault="00E1020E" w:rsidP="008B2D87">
      <w:pPr>
        <w:spacing w:after="200" w:line="276" w:lineRule="auto"/>
        <w:jc w:val="center"/>
        <w:rPr>
          <w:rFonts w:eastAsia="Calibri" w:cs="Arial"/>
          <w:szCs w:val="20"/>
        </w:rPr>
      </w:pPr>
      <w:r>
        <w:rPr>
          <w:rFonts w:cs="Arial"/>
          <w:b/>
          <w:bCs/>
          <w:color w:val="000000"/>
          <w:szCs w:val="20"/>
          <w:u w:val="single"/>
        </w:rPr>
        <w:t>Ilze Lihacova</w:t>
      </w:r>
      <w:proofErr w:type="gramStart"/>
      <w:r w:rsidRPr="00BF1F1D">
        <w:rPr>
          <w:rFonts w:cs="Arial"/>
          <w:b/>
          <w:bCs/>
          <w:color w:val="000000"/>
          <w:szCs w:val="20"/>
          <w:u w:val="single"/>
          <w:vertAlign w:val="superscript"/>
        </w:rPr>
        <w:t>1,*</w:t>
      </w:r>
      <w:proofErr w:type="gramEnd"/>
      <w:r>
        <w:rPr>
          <w:rFonts w:cs="Arial"/>
          <w:color w:val="000000"/>
          <w:szCs w:val="20"/>
        </w:rPr>
        <w:t>, Ilya Balmages</w:t>
      </w:r>
      <w:r w:rsidRPr="00BF1F1D">
        <w:rPr>
          <w:rFonts w:cs="Arial"/>
          <w:color w:val="000000"/>
          <w:szCs w:val="20"/>
          <w:vertAlign w:val="superscript"/>
        </w:rPr>
        <w:t>1</w:t>
      </w:r>
      <w:r>
        <w:rPr>
          <w:rFonts w:cs="Arial"/>
          <w:color w:val="000000"/>
          <w:szCs w:val="20"/>
        </w:rPr>
        <w:t xml:space="preserve">, </w:t>
      </w:r>
      <w:proofErr w:type="spellStart"/>
      <w:r>
        <w:rPr>
          <w:rFonts w:cs="Arial"/>
          <w:color w:val="000000"/>
          <w:szCs w:val="20"/>
        </w:rPr>
        <w:t>Aigars</w:t>
      </w:r>
      <w:proofErr w:type="spellEnd"/>
      <w:r>
        <w:rPr>
          <w:rFonts w:cs="Arial"/>
          <w:color w:val="000000"/>
          <w:szCs w:val="20"/>
        </w:rPr>
        <w:t xml:space="preserve"> Reinis</w:t>
      </w:r>
      <w:r w:rsidRPr="00BF1F1D">
        <w:rPr>
          <w:rFonts w:cs="Arial"/>
          <w:color w:val="000000"/>
          <w:szCs w:val="20"/>
          <w:vertAlign w:val="superscript"/>
        </w:rPr>
        <w:t>2,3</w:t>
      </w:r>
      <w:r>
        <w:rPr>
          <w:rFonts w:cs="Arial"/>
          <w:color w:val="000000"/>
          <w:szCs w:val="20"/>
        </w:rPr>
        <w:t xml:space="preserve">, </w:t>
      </w:r>
      <w:proofErr w:type="spellStart"/>
      <w:r>
        <w:rPr>
          <w:rFonts w:cs="Arial"/>
          <w:color w:val="000000"/>
          <w:szCs w:val="20"/>
        </w:rPr>
        <w:t>Svjatoslavs</w:t>
      </w:r>
      <w:proofErr w:type="spellEnd"/>
      <w:r>
        <w:rPr>
          <w:rFonts w:cs="Arial"/>
          <w:color w:val="000000"/>
          <w:szCs w:val="20"/>
        </w:rPr>
        <w:t xml:space="preserve"> Kistkins</w:t>
      </w:r>
      <w:r w:rsidRPr="00BF1F1D">
        <w:rPr>
          <w:rFonts w:cs="Arial"/>
          <w:color w:val="000000"/>
          <w:szCs w:val="20"/>
          <w:vertAlign w:val="superscript"/>
        </w:rPr>
        <w:t>1,2</w:t>
      </w:r>
      <w:r>
        <w:rPr>
          <w:rFonts w:cs="Arial"/>
          <w:color w:val="000000"/>
          <w:szCs w:val="20"/>
        </w:rPr>
        <w:t xml:space="preserve">, </w:t>
      </w:r>
      <w:proofErr w:type="spellStart"/>
      <w:r>
        <w:rPr>
          <w:rFonts w:cs="Arial"/>
          <w:color w:val="000000"/>
          <w:szCs w:val="20"/>
        </w:rPr>
        <w:t>Dmitrijs</w:t>
      </w:r>
      <w:proofErr w:type="spellEnd"/>
      <w:r>
        <w:rPr>
          <w:rFonts w:cs="Arial"/>
          <w:color w:val="000000"/>
          <w:szCs w:val="20"/>
        </w:rPr>
        <w:t xml:space="preserve"> </w:t>
      </w:r>
      <w:r w:rsidRPr="00BF1F1D">
        <w:rPr>
          <w:rFonts w:cs="Arial"/>
          <w:color w:val="000000"/>
          <w:szCs w:val="20"/>
        </w:rPr>
        <w:t>Bliznuks</w:t>
      </w:r>
      <w:r w:rsidRPr="00BF1F1D">
        <w:rPr>
          <w:rFonts w:cs="Arial"/>
          <w:color w:val="000000"/>
          <w:szCs w:val="20"/>
          <w:vertAlign w:val="superscript"/>
        </w:rPr>
        <w:t>4</w:t>
      </w:r>
      <w:r w:rsidRPr="00BF1F1D">
        <w:rPr>
          <w:rFonts w:cs="Arial"/>
          <w:color w:val="000000"/>
          <w:szCs w:val="20"/>
        </w:rPr>
        <w:t xml:space="preserve">, </w:t>
      </w:r>
      <w:proofErr w:type="spellStart"/>
      <w:r w:rsidRPr="00BF1F1D">
        <w:rPr>
          <w:rFonts w:cs="Arial"/>
          <w:color w:val="000000"/>
          <w:szCs w:val="20"/>
        </w:rPr>
        <w:t>Emilija</w:t>
      </w:r>
      <w:proofErr w:type="spellEnd"/>
      <w:r w:rsidRPr="00BF1F1D">
        <w:rPr>
          <w:rFonts w:cs="Arial"/>
          <w:color w:val="000000"/>
          <w:szCs w:val="20"/>
        </w:rPr>
        <w:t xml:space="preserve"> </w:t>
      </w:r>
      <w:proofErr w:type="spellStart"/>
      <w:r w:rsidRPr="00BF1F1D">
        <w:rPr>
          <w:rFonts w:cs="Arial"/>
          <w:color w:val="000000"/>
          <w:szCs w:val="20"/>
        </w:rPr>
        <w:t>Vija</w:t>
      </w:r>
      <w:proofErr w:type="spellEnd"/>
      <w:r w:rsidRPr="00BF1F1D">
        <w:rPr>
          <w:rFonts w:cs="Arial"/>
          <w:color w:val="000000"/>
          <w:szCs w:val="20"/>
        </w:rPr>
        <w:t xml:space="preserve"> Plorina</w:t>
      </w:r>
      <w:r w:rsidRPr="00BF1F1D">
        <w:rPr>
          <w:rFonts w:cs="Arial"/>
          <w:color w:val="000000"/>
          <w:szCs w:val="20"/>
          <w:vertAlign w:val="superscript"/>
        </w:rPr>
        <w:t>1</w:t>
      </w:r>
      <w:r w:rsidRPr="00BF1F1D">
        <w:rPr>
          <w:rFonts w:cs="Arial"/>
          <w:color w:val="000000"/>
          <w:szCs w:val="20"/>
        </w:rPr>
        <w:t>, Alexey Lihachev</w:t>
      </w:r>
      <w:r w:rsidRPr="00BF1F1D">
        <w:rPr>
          <w:rFonts w:cs="Arial"/>
          <w:color w:val="000000"/>
          <w:szCs w:val="20"/>
          <w:vertAlign w:val="superscript"/>
        </w:rPr>
        <w:t>1</w:t>
      </w:r>
    </w:p>
    <w:p w14:paraId="08AD87E9" w14:textId="0762D234" w:rsidR="00E1020E" w:rsidRPr="00E1020E" w:rsidRDefault="00BF1F1D" w:rsidP="00E1020E">
      <w:pPr>
        <w:jc w:val="center"/>
        <w:rPr>
          <w:rFonts w:ascii="Times New Roman" w:hAnsi="Times New Roman"/>
          <w:szCs w:val="20"/>
        </w:rPr>
      </w:pPr>
      <w:r w:rsidRPr="00BF1F1D">
        <w:rPr>
          <w:rFonts w:cs="Arial"/>
          <w:i/>
          <w:iCs/>
          <w:color w:val="000000"/>
          <w:szCs w:val="20"/>
          <w:vertAlign w:val="superscript"/>
        </w:rPr>
        <w:t>1</w:t>
      </w:r>
      <w:r w:rsidR="00E1020E" w:rsidRPr="00E1020E">
        <w:rPr>
          <w:rFonts w:cs="Arial"/>
          <w:i/>
          <w:iCs/>
          <w:color w:val="000000"/>
          <w:szCs w:val="20"/>
        </w:rPr>
        <w:t>Institute of Atomic Physics and Spectroscopy, University of Latvia, Riga, Latvia</w:t>
      </w:r>
    </w:p>
    <w:p w14:paraId="04439DCF" w14:textId="77777777" w:rsidR="00E1020E" w:rsidRPr="00E1020E" w:rsidRDefault="00E1020E" w:rsidP="00E1020E">
      <w:pPr>
        <w:jc w:val="center"/>
        <w:rPr>
          <w:rFonts w:ascii="Times New Roman" w:hAnsi="Times New Roman"/>
          <w:szCs w:val="20"/>
        </w:rPr>
      </w:pPr>
      <w:r w:rsidRPr="00E1020E">
        <w:rPr>
          <w:rFonts w:cs="Arial"/>
          <w:i/>
          <w:iCs/>
          <w:color w:val="000000"/>
          <w:szCs w:val="20"/>
          <w:vertAlign w:val="superscript"/>
        </w:rPr>
        <w:t>2</w:t>
      </w:r>
      <w:r w:rsidRPr="00E1020E">
        <w:rPr>
          <w:rFonts w:cs="Arial"/>
          <w:i/>
          <w:iCs/>
          <w:color w:val="000000"/>
          <w:szCs w:val="20"/>
        </w:rPr>
        <w:t xml:space="preserve">Pauls </w:t>
      </w:r>
      <w:proofErr w:type="spellStart"/>
      <w:r w:rsidRPr="00E1020E">
        <w:rPr>
          <w:rFonts w:cs="Arial"/>
          <w:i/>
          <w:iCs/>
          <w:color w:val="000000"/>
          <w:szCs w:val="20"/>
        </w:rPr>
        <w:t>Stradins</w:t>
      </w:r>
      <w:proofErr w:type="spellEnd"/>
      <w:r w:rsidRPr="00E1020E">
        <w:rPr>
          <w:rFonts w:cs="Arial"/>
          <w:i/>
          <w:iCs/>
          <w:color w:val="000000"/>
          <w:szCs w:val="20"/>
        </w:rPr>
        <w:t xml:space="preserve"> Clinical University Hospital, </w:t>
      </w:r>
      <w:proofErr w:type="spellStart"/>
      <w:r w:rsidRPr="00E1020E">
        <w:rPr>
          <w:rFonts w:cs="Arial"/>
          <w:i/>
          <w:iCs/>
          <w:color w:val="000000"/>
          <w:szCs w:val="20"/>
        </w:rPr>
        <w:t>Pilsoņu</w:t>
      </w:r>
      <w:proofErr w:type="spellEnd"/>
      <w:r w:rsidRPr="00E1020E">
        <w:rPr>
          <w:rFonts w:cs="Arial"/>
          <w:i/>
          <w:iCs/>
          <w:color w:val="000000"/>
          <w:szCs w:val="20"/>
        </w:rPr>
        <w:t xml:space="preserve"> 13, Riga, Latvia</w:t>
      </w:r>
    </w:p>
    <w:p w14:paraId="3109CF77" w14:textId="77777777" w:rsidR="00E1020E" w:rsidRPr="00E1020E" w:rsidRDefault="00E1020E" w:rsidP="00E1020E">
      <w:pPr>
        <w:jc w:val="center"/>
        <w:rPr>
          <w:rFonts w:ascii="Times New Roman" w:hAnsi="Times New Roman"/>
          <w:szCs w:val="20"/>
        </w:rPr>
      </w:pPr>
      <w:r w:rsidRPr="00E1020E">
        <w:rPr>
          <w:rFonts w:cs="Arial"/>
          <w:i/>
          <w:iCs/>
          <w:color w:val="000000"/>
          <w:szCs w:val="20"/>
          <w:vertAlign w:val="superscript"/>
        </w:rPr>
        <w:t>3</w:t>
      </w:r>
      <w:r w:rsidRPr="00E1020E">
        <w:rPr>
          <w:rFonts w:cs="Arial"/>
          <w:i/>
          <w:iCs/>
          <w:color w:val="000000"/>
          <w:szCs w:val="20"/>
        </w:rPr>
        <w:t xml:space="preserve">Riga </w:t>
      </w:r>
      <w:proofErr w:type="spellStart"/>
      <w:r w:rsidRPr="00E1020E">
        <w:rPr>
          <w:rFonts w:cs="Arial"/>
          <w:i/>
          <w:iCs/>
          <w:color w:val="000000"/>
          <w:szCs w:val="20"/>
        </w:rPr>
        <w:t>Stradins</w:t>
      </w:r>
      <w:proofErr w:type="spellEnd"/>
      <w:r w:rsidRPr="00E1020E">
        <w:rPr>
          <w:rFonts w:cs="Arial"/>
          <w:i/>
          <w:iCs/>
          <w:color w:val="000000"/>
          <w:szCs w:val="20"/>
        </w:rPr>
        <w:t xml:space="preserve"> University, Department of Biology and Microbiology, </w:t>
      </w:r>
      <w:proofErr w:type="spellStart"/>
      <w:r w:rsidRPr="00E1020E">
        <w:rPr>
          <w:rFonts w:cs="Arial"/>
          <w:i/>
          <w:iCs/>
          <w:color w:val="000000"/>
          <w:szCs w:val="20"/>
        </w:rPr>
        <w:t>Dzirciema</w:t>
      </w:r>
      <w:proofErr w:type="spellEnd"/>
      <w:r w:rsidRPr="00E1020E">
        <w:rPr>
          <w:rFonts w:cs="Arial"/>
          <w:i/>
          <w:iCs/>
          <w:color w:val="000000"/>
          <w:szCs w:val="20"/>
        </w:rPr>
        <w:t xml:space="preserve"> 16, Riga, Latvia</w:t>
      </w:r>
    </w:p>
    <w:p w14:paraId="6068C3B9" w14:textId="77777777" w:rsidR="00E1020E" w:rsidRPr="00E1020E" w:rsidRDefault="00E1020E" w:rsidP="00E1020E">
      <w:pPr>
        <w:jc w:val="center"/>
        <w:rPr>
          <w:rFonts w:ascii="Times New Roman" w:hAnsi="Times New Roman"/>
          <w:szCs w:val="20"/>
        </w:rPr>
      </w:pPr>
      <w:r w:rsidRPr="00E1020E">
        <w:rPr>
          <w:rFonts w:cs="Arial"/>
          <w:i/>
          <w:iCs/>
          <w:color w:val="000000"/>
          <w:szCs w:val="20"/>
          <w:vertAlign w:val="superscript"/>
        </w:rPr>
        <w:t>4</w:t>
      </w:r>
      <w:r w:rsidRPr="00E1020E">
        <w:rPr>
          <w:rFonts w:cs="Arial"/>
          <w:i/>
          <w:iCs/>
          <w:color w:val="000000"/>
          <w:szCs w:val="20"/>
        </w:rPr>
        <w:t xml:space="preserve">Riga Technical University, </w:t>
      </w:r>
      <w:proofErr w:type="spellStart"/>
      <w:r w:rsidRPr="00E1020E">
        <w:rPr>
          <w:rFonts w:cs="Arial"/>
          <w:i/>
          <w:iCs/>
          <w:color w:val="000000"/>
          <w:szCs w:val="20"/>
        </w:rPr>
        <w:t>Zunda</w:t>
      </w:r>
      <w:proofErr w:type="spellEnd"/>
      <w:r w:rsidRPr="00E1020E">
        <w:rPr>
          <w:rFonts w:cs="Arial"/>
          <w:i/>
          <w:iCs/>
          <w:color w:val="000000"/>
          <w:szCs w:val="20"/>
        </w:rPr>
        <w:t xml:space="preserve"> </w:t>
      </w:r>
      <w:proofErr w:type="spellStart"/>
      <w:r w:rsidRPr="00E1020E">
        <w:rPr>
          <w:rFonts w:cs="Arial"/>
          <w:i/>
          <w:iCs/>
          <w:color w:val="000000"/>
          <w:szCs w:val="20"/>
        </w:rPr>
        <w:t>krastmala</w:t>
      </w:r>
      <w:proofErr w:type="spellEnd"/>
      <w:r w:rsidRPr="00E1020E">
        <w:rPr>
          <w:rFonts w:cs="Arial"/>
          <w:i/>
          <w:iCs/>
          <w:color w:val="000000"/>
          <w:szCs w:val="20"/>
        </w:rPr>
        <w:t xml:space="preserve"> 10, Riga, Latvia </w:t>
      </w:r>
    </w:p>
    <w:p w14:paraId="6AE2757F" w14:textId="2E297297" w:rsidR="00416125" w:rsidRPr="00BF1F1D" w:rsidRDefault="00E1020E" w:rsidP="00E1020E">
      <w:pPr>
        <w:jc w:val="center"/>
        <w:rPr>
          <w:rFonts w:eastAsia="Calibri" w:cs="Arial"/>
          <w:i/>
          <w:szCs w:val="20"/>
        </w:rPr>
      </w:pPr>
      <w:r w:rsidRPr="00BF1F1D">
        <w:rPr>
          <w:rFonts w:cs="Arial"/>
          <w:color w:val="000000"/>
          <w:szCs w:val="20"/>
          <w:vertAlign w:val="superscript"/>
        </w:rPr>
        <w:t xml:space="preserve">* </w:t>
      </w:r>
      <w:r w:rsidRPr="00BF1F1D">
        <w:rPr>
          <w:rFonts w:cs="Arial"/>
          <w:i/>
          <w:iCs/>
          <w:color w:val="000000"/>
          <w:szCs w:val="20"/>
        </w:rPr>
        <w:t>ilze.lihacova@lu.lv</w:t>
      </w:r>
    </w:p>
    <w:tbl>
      <w:tblPr>
        <w:tblW w:w="10170" w:type="dxa"/>
        <w:tblInd w:w="-612" w:type="dxa"/>
        <w:tblLook w:val="04A0" w:firstRow="1" w:lastRow="0" w:firstColumn="1" w:lastColumn="0" w:noHBand="0" w:noVBand="1"/>
      </w:tblPr>
      <w:tblGrid>
        <w:gridCol w:w="2095"/>
        <w:gridCol w:w="8075"/>
      </w:tblGrid>
      <w:tr w:rsidR="00A23872" w:rsidRPr="002571FC" w14:paraId="395DC2FA" w14:textId="77777777" w:rsidTr="00C025D5">
        <w:tc>
          <w:tcPr>
            <w:tcW w:w="1800" w:type="dxa"/>
            <w:shd w:val="clear" w:color="auto" w:fill="auto"/>
          </w:tcPr>
          <w:p w14:paraId="0CC269DF" w14:textId="77777777" w:rsidR="00A23872" w:rsidRPr="009F3D90" w:rsidRDefault="003811BA" w:rsidP="002571FC">
            <w:pPr>
              <w:jc w:val="right"/>
              <w:rPr>
                <w:rFonts w:eastAsia="Calibri" w:cs="Arial"/>
                <w:b/>
                <w:szCs w:val="20"/>
              </w:rPr>
            </w:pPr>
            <w:permStart w:id="789193127" w:edGrp="everyone" w:colFirst="1" w:colLast="1"/>
            <w:permEnd w:id="1893343399"/>
            <w:r w:rsidRPr="009F3D90">
              <w:rPr>
                <w:rFonts w:cs="Arial"/>
                <w:b/>
                <w:iCs/>
                <w:szCs w:val="20"/>
              </w:rPr>
              <w:t>Key</w:t>
            </w:r>
            <w:r w:rsidRPr="009F3D90">
              <w:rPr>
                <w:rFonts w:cs="Arial"/>
                <w:b/>
                <w:szCs w:val="20"/>
              </w:rPr>
              <w:t>w</w:t>
            </w:r>
            <w:r w:rsidR="00A23872" w:rsidRPr="009F3D90">
              <w:rPr>
                <w:rFonts w:cs="Arial"/>
                <w:b/>
                <w:iCs/>
                <w:szCs w:val="20"/>
              </w:rPr>
              <w:t>ords</w:t>
            </w:r>
          </w:p>
        </w:tc>
        <w:tc>
          <w:tcPr>
            <w:tcW w:w="8370" w:type="dxa"/>
            <w:shd w:val="clear" w:color="auto" w:fill="auto"/>
          </w:tcPr>
          <w:p w14:paraId="196456AC" w14:textId="27811847" w:rsidR="00A23872" w:rsidRPr="009F3D90" w:rsidRDefault="00E1020E" w:rsidP="00C02F98">
            <w:pPr>
              <w:jc w:val="both"/>
              <w:rPr>
                <w:rFonts w:eastAsia="Calibri" w:cs="Arial"/>
                <w:szCs w:val="20"/>
              </w:rPr>
            </w:pPr>
            <w:r>
              <w:rPr>
                <w:rFonts w:cs="Arial"/>
                <w:color w:val="000000"/>
                <w:szCs w:val="20"/>
              </w:rPr>
              <w:t>phenotypic antibacterial resistance, laser speckle imaging, sub-pixel correlation analysis, image processing</w:t>
            </w:r>
          </w:p>
        </w:tc>
      </w:tr>
      <w:tr w:rsidR="00C025D5" w:rsidRPr="002571FC" w14:paraId="394E1136" w14:textId="77777777" w:rsidTr="00C025D5">
        <w:tc>
          <w:tcPr>
            <w:tcW w:w="1800" w:type="dxa"/>
            <w:shd w:val="clear" w:color="auto" w:fill="auto"/>
          </w:tcPr>
          <w:p w14:paraId="5D0DB707" w14:textId="77777777" w:rsidR="00C025D5" w:rsidRPr="009F3D90" w:rsidRDefault="00C025D5" w:rsidP="002571FC">
            <w:pPr>
              <w:jc w:val="right"/>
              <w:rPr>
                <w:rFonts w:eastAsia="Calibri" w:cs="Arial"/>
                <w:b/>
                <w:szCs w:val="20"/>
              </w:rPr>
            </w:pPr>
            <w:permStart w:id="477641685" w:edGrp="everyone" w:colFirst="1" w:colLast="1"/>
            <w:permEnd w:id="789193127"/>
          </w:p>
        </w:tc>
        <w:tc>
          <w:tcPr>
            <w:tcW w:w="8370" w:type="dxa"/>
            <w:shd w:val="clear" w:color="auto" w:fill="auto"/>
          </w:tcPr>
          <w:p w14:paraId="723368F2" w14:textId="77777777" w:rsidR="00C025D5" w:rsidRPr="009F3D90" w:rsidRDefault="00C025D5" w:rsidP="002571FC">
            <w:pPr>
              <w:jc w:val="both"/>
              <w:rPr>
                <w:rFonts w:eastAsia="Calibri" w:cs="Arial"/>
                <w:szCs w:val="20"/>
              </w:rPr>
            </w:pPr>
          </w:p>
        </w:tc>
      </w:tr>
      <w:tr w:rsidR="009E0390" w:rsidRPr="002571FC" w14:paraId="21709FDF" w14:textId="77777777" w:rsidTr="00C025D5">
        <w:tc>
          <w:tcPr>
            <w:tcW w:w="1800" w:type="dxa"/>
            <w:shd w:val="clear" w:color="auto" w:fill="auto"/>
          </w:tcPr>
          <w:p w14:paraId="02F723DB" w14:textId="77777777" w:rsidR="00416125" w:rsidRPr="009F3D90" w:rsidRDefault="00416125" w:rsidP="002571FC">
            <w:pPr>
              <w:jc w:val="right"/>
              <w:rPr>
                <w:rFonts w:eastAsia="Calibri" w:cs="Arial"/>
                <w:b/>
                <w:szCs w:val="20"/>
              </w:rPr>
            </w:pPr>
            <w:permStart w:id="1930325956" w:edGrp="everyone" w:colFirst="1" w:colLast="1"/>
            <w:permEnd w:id="477641685"/>
            <w:r w:rsidRPr="009F3D90">
              <w:rPr>
                <w:rFonts w:eastAsia="Calibri" w:cs="Arial"/>
                <w:b/>
                <w:szCs w:val="20"/>
              </w:rPr>
              <w:t>Motivation of</w:t>
            </w:r>
            <w:r w:rsidR="009E0390" w:rsidRPr="009F3D90">
              <w:rPr>
                <w:rFonts w:eastAsia="Calibri" w:cs="Arial"/>
                <w:b/>
                <w:szCs w:val="20"/>
              </w:rPr>
              <w:t xml:space="preserve"> </w:t>
            </w:r>
            <w:r w:rsidRPr="009F3D90">
              <w:rPr>
                <w:rFonts w:eastAsia="Calibri" w:cs="Arial"/>
                <w:b/>
                <w:szCs w:val="20"/>
              </w:rPr>
              <w:t>research</w:t>
            </w:r>
          </w:p>
        </w:tc>
        <w:tc>
          <w:tcPr>
            <w:tcW w:w="8370" w:type="dxa"/>
            <w:shd w:val="clear" w:color="auto" w:fill="auto"/>
          </w:tcPr>
          <w:p w14:paraId="5E2736DD" w14:textId="32562A75" w:rsidR="00416125" w:rsidRPr="009F3D90" w:rsidRDefault="00E1020E" w:rsidP="002571FC">
            <w:pPr>
              <w:jc w:val="both"/>
              <w:rPr>
                <w:rFonts w:eastAsia="Calibri" w:cs="Arial"/>
                <w:szCs w:val="20"/>
              </w:rPr>
            </w:pPr>
            <w:r>
              <w:rPr>
                <w:rFonts w:cs="Arial"/>
                <w:color w:val="000000"/>
                <w:szCs w:val="20"/>
              </w:rPr>
              <w:t xml:space="preserve">Phenotypic resistance tests </w:t>
            </w:r>
            <w:r>
              <w:rPr>
                <w:rFonts w:cs="Arial"/>
                <w:color w:val="000000"/>
                <w:szCs w:val="20"/>
              </w:rPr>
              <w:t>e.g.,</w:t>
            </w:r>
            <w:r>
              <w:rPr>
                <w:rFonts w:cs="Arial"/>
                <w:color w:val="000000"/>
                <w:szCs w:val="20"/>
              </w:rPr>
              <w:t xml:space="preserve"> disc diffusion method require 16-24 hours to obtain the results [1], while the PCR tests provide only genotypic type of antibacterial resistance. New methods are needed to assess antibacterial resistance faster than existing methods, thus providing targeted pharmacological intervention at the early stage of the disease, increasing a patient's survival chances.</w:t>
            </w:r>
          </w:p>
        </w:tc>
      </w:tr>
      <w:tr w:rsidR="009E0390" w:rsidRPr="002571FC" w14:paraId="1A3AE12C" w14:textId="77777777" w:rsidTr="00C025D5">
        <w:tc>
          <w:tcPr>
            <w:tcW w:w="1800" w:type="dxa"/>
            <w:shd w:val="clear" w:color="auto" w:fill="auto"/>
          </w:tcPr>
          <w:p w14:paraId="78B1E17C" w14:textId="77777777" w:rsidR="00416125" w:rsidRPr="009F3D90" w:rsidRDefault="00416125" w:rsidP="002571FC">
            <w:pPr>
              <w:jc w:val="right"/>
              <w:rPr>
                <w:rFonts w:eastAsia="Calibri" w:cs="Arial"/>
                <w:b/>
                <w:szCs w:val="20"/>
              </w:rPr>
            </w:pPr>
            <w:permStart w:id="1548039980" w:edGrp="everyone" w:colFirst="1" w:colLast="1"/>
            <w:permEnd w:id="1930325956"/>
            <w:r w:rsidRPr="009F3D90">
              <w:rPr>
                <w:rFonts w:eastAsia="Calibri" w:cs="Arial"/>
                <w:b/>
                <w:szCs w:val="20"/>
              </w:rPr>
              <w:t>Aim</w:t>
            </w:r>
          </w:p>
        </w:tc>
        <w:tc>
          <w:tcPr>
            <w:tcW w:w="8370" w:type="dxa"/>
            <w:shd w:val="clear" w:color="auto" w:fill="auto"/>
          </w:tcPr>
          <w:p w14:paraId="5B244A15" w14:textId="7476AD4C" w:rsidR="00416125" w:rsidRPr="009F3D90" w:rsidRDefault="00E1020E" w:rsidP="002571FC">
            <w:pPr>
              <w:jc w:val="both"/>
              <w:rPr>
                <w:rFonts w:eastAsia="Calibri" w:cs="Arial"/>
                <w:szCs w:val="20"/>
              </w:rPr>
            </w:pPr>
            <w:r>
              <w:rPr>
                <w:rFonts w:cs="Arial"/>
                <w:color w:val="000000"/>
                <w:szCs w:val="20"/>
              </w:rPr>
              <w:t>The aim of study is to create laser speckle image processing algorithms capable of predicting the resulting diameter of the sterile zone by analysis of the earliest observations of the size of the sterile zone.</w:t>
            </w:r>
          </w:p>
        </w:tc>
      </w:tr>
      <w:tr w:rsidR="009E0390" w:rsidRPr="002571FC" w14:paraId="42302222" w14:textId="77777777" w:rsidTr="00C025D5">
        <w:tc>
          <w:tcPr>
            <w:tcW w:w="1800" w:type="dxa"/>
            <w:shd w:val="clear" w:color="auto" w:fill="auto"/>
          </w:tcPr>
          <w:p w14:paraId="5FDD0AC8" w14:textId="77777777" w:rsidR="00416125" w:rsidRPr="009F3D90" w:rsidRDefault="00416125" w:rsidP="002571FC">
            <w:pPr>
              <w:jc w:val="right"/>
              <w:rPr>
                <w:rFonts w:eastAsia="Calibri" w:cs="Arial"/>
                <w:b/>
                <w:szCs w:val="20"/>
              </w:rPr>
            </w:pPr>
            <w:permStart w:id="1803092730" w:edGrp="everyone" w:colFirst="1" w:colLast="1"/>
            <w:permEnd w:id="1548039980"/>
            <w:r w:rsidRPr="009F3D90">
              <w:rPr>
                <w:rFonts w:eastAsia="Calibri" w:cs="Arial"/>
                <w:b/>
                <w:szCs w:val="20"/>
              </w:rPr>
              <w:t xml:space="preserve">Novelty </w:t>
            </w:r>
          </w:p>
        </w:tc>
        <w:tc>
          <w:tcPr>
            <w:tcW w:w="8370" w:type="dxa"/>
            <w:shd w:val="clear" w:color="auto" w:fill="auto"/>
          </w:tcPr>
          <w:p w14:paraId="3DF38488" w14:textId="635906ED" w:rsidR="00416125" w:rsidRPr="009F3D90" w:rsidRDefault="00E1020E" w:rsidP="002571FC">
            <w:pPr>
              <w:jc w:val="both"/>
              <w:rPr>
                <w:rFonts w:eastAsia="Calibri" w:cs="Arial"/>
                <w:szCs w:val="20"/>
              </w:rPr>
            </w:pPr>
            <w:r>
              <w:rPr>
                <w:rFonts w:cs="Arial"/>
                <w:color w:val="000000"/>
                <w:szCs w:val="20"/>
              </w:rPr>
              <w:t>Comparison of the model with experimental data obtained using the laser speckle (LS) imaging technique with sub-pixel correlation analysis will help to understand the behavior of the growth curves of the sterile zone and in the future will allow, based on short-term experiments, to predict the subsequent change in the radius of the sterile zone.</w:t>
            </w:r>
          </w:p>
        </w:tc>
      </w:tr>
      <w:tr w:rsidR="009E0390" w:rsidRPr="002571FC" w14:paraId="69C98C58" w14:textId="77777777" w:rsidTr="00C025D5">
        <w:tc>
          <w:tcPr>
            <w:tcW w:w="1800" w:type="dxa"/>
            <w:shd w:val="clear" w:color="auto" w:fill="auto"/>
          </w:tcPr>
          <w:p w14:paraId="4B9A4C31" w14:textId="77777777" w:rsidR="00416125" w:rsidRPr="009F3D90" w:rsidRDefault="00416125" w:rsidP="002571FC">
            <w:pPr>
              <w:jc w:val="right"/>
              <w:rPr>
                <w:rFonts w:eastAsia="Calibri" w:cs="Arial"/>
                <w:b/>
                <w:szCs w:val="20"/>
              </w:rPr>
            </w:pPr>
            <w:permStart w:id="1751074102" w:edGrp="everyone" w:colFirst="1" w:colLast="1"/>
            <w:permEnd w:id="1803092730"/>
            <w:r w:rsidRPr="009F3D90">
              <w:rPr>
                <w:rFonts w:eastAsia="Calibri" w:cs="Arial"/>
                <w:b/>
                <w:szCs w:val="20"/>
              </w:rPr>
              <w:t>Main results</w:t>
            </w:r>
          </w:p>
        </w:tc>
        <w:tc>
          <w:tcPr>
            <w:tcW w:w="8370" w:type="dxa"/>
            <w:shd w:val="clear" w:color="auto" w:fill="auto"/>
          </w:tcPr>
          <w:p w14:paraId="7969C578" w14:textId="3366AAB7" w:rsidR="00416125" w:rsidRPr="009F3D90" w:rsidRDefault="00E1020E" w:rsidP="002571FC">
            <w:pPr>
              <w:jc w:val="both"/>
              <w:rPr>
                <w:rFonts w:eastAsia="Calibri" w:cs="Arial"/>
                <w:szCs w:val="20"/>
              </w:rPr>
            </w:pPr>
            <w:r>
              <w:rPr>
                <w:rFonts w:cs="Arial"/>
                <w:color w:val="000000"/>
                <w:szCs w:val="20"/>
              </w:rPr>
              <w:t xml:space="preserve">Sensitive sub-pixel correlation analysis of speckle images allows detection of small changes in bacterial activity and demonstrates radius growth curves of sterile zones around the antibiotic. The square of the radius of sterile zone is proportional to the difference between natural logarithm of the antibiotic concentration and natural logarithm of the minimum inhibitory concentration (MIC), multiplied by the diffusion coefficient and the time of antibiotic diffusion. Thus, it is possible to obtain a model of sterile zone radius growth as a function of time [2]. The ability of sub-pixel correlation analysis of LS images to find radius growth curves of sterile zones and development </w:t>
            </w:r>
            <w:r>
              <w:rPr>
                <w:rFonts w:cs="Arial"/>
                <w:color w:val="000000"/>
                <w:szCs w:val="20"/>
              </w:rPr>
              <w:t>of theoretical</w:t>
            </w:r>
            <w:r>
              <w:rPr>
                <w:rFonts w:cs="Arial"/>
                <w:color w:val="000000"/>
                <w:szCs w:val="20"/>
              </w:rPr>
              <w:t xml:space="preserve"> model for them will be demonstrated</w:t>
            </w:r>
          </w:p>
        </w:tc>
      </w:tr>
      <w:tr w:rsidR="009E0390" w:rsidRPr="002571FC" w14:paraId="53BCE442" w14:textId="77777777" w:rsidTr="00C025D5">
        <w:tc>
          <w:tcPr>
            <w:tcW w:w="1800" w:type="dxa"/>
            <w:shd w:val="clear" w:color="auto" w:fill="auto"/>
          </w:tcPr>
          <w:p w14:paraId="741A00A1" w14:textId="77777777" w:rsidR="00416125" w:rsidRPr="009F3D90" w:rsidRDefault="00416125" w:rsidP="002571FC">
            <w:pPr>
              <w:jc w:val="right"/>
              <w:rPr>
                <w:rFonts w:eastAsia="Calibri" w:cs="Arial"/>
                <w:b/>
                <w:szCs w:val="20"/>
              </w:rPr>
            </w:pPr>
            <w:permStart w:id="1656181867" w:edGrp="everyone" w:colFirst="1" w:colLast="1"/>
            <w:permEnd w:id="1751074102"/>
            <w:r w:rsidRPr="009F3D90">
              <w:rPr>
                <w:rFonts w:eastAsia="Calibri" w:cs="Arial"/>
                <w:b/>
                <w:szCs w:val="20"/>
              </w:rPr>
              <w:t>Conclusion</w:t>
            </w:r>
          </w:p>
        </w:tc>
        <w:tc>
          <w:tcPr>
            <w:tcW w:w="8370" w:type="dxa"/>
            <w:shd w:val="clear" w:color="auto" w:fill="auto"/>
          </w:tcPr>
          <w:p w14:paraId="24971993" w14:textId="11905109" w:rsidR="00587383" w:rsidRPr="009F3D90" w:rsidRDefault="00E1020E" w:rsidP="002571FC">
            <w:pPr>
              <w:jc w:val="both"/>
              <w:rPr>
                <w:rFonts w:eastAsia="Calibri" w:cs="Arial"/>
                <w:szCs w:val="20"/>
              </w:rPr>
            </w:pPr>
            <w:r>
              <w:rPr>
                <w:rFonts w:cs="Arial"/>
                <w:color w:val="000000"/>
                <w:szCs w:val="20"/>
              </w:rPr>
              <w:t>This technology provides the ability to measure changes in the sterile zone radius, significantly earlier than the disk diffusion method (recommended by the European Committee on Antimicrobial susceptibility testing (EUCAST</w:t>
            </w:r>
            <w:r w:rsidR="00BF1F1D">
              <w:rPr>
                <w:rFonts w:cs="Arial"/>
                <w:color w:val="000000"/>
                <w:szCs w:val="20"/>
              </w:rPr>
              <w:t>) [</w:t>
            </w:r>
            <w:r>
              <w:rPr>
                <w:rFonts w:cs="Arial"/>
                <w:color w:val="000000"/>
                <w:szCs w:val="20"/>
              </w:rPr>
              <w:t>3]).</w:t>
            </w:r>
          </w:p>
        </w:tc>
      </w:tr>
      <w:tr w:rsidR="009E0390" w:rsidRPr="002571FC" w14:paraId="5ECD4A25" w14:textId="77777777" w:rsidTr="00C025D5">
        <w:tc>
          <w:tcPr>
            <w:tcW w:w="1800" w:type="dxa"/>
            <w:shd w:val="clear" w:color="auto" w:fill="auto"/>
          </w:tcPr>
          <w:p w14:paraId="108D993D" w14:textId="77777777" w:rsidR="00416125" w:rsidRPr="009F3D90" w:rsidRDefault="00416125" w:rsidP="002571FC">
            <w:pPr>
              <w:jc w:val="right"/>
              <w:rPr>
                <w:rFonts w:eastAsia="Calibri" w:cs="Arial"/>
                <w:b/>
                <w:szCs w:val="20"/>
              </w:rPr>
            </w:pPr>
            <w:permStart w:id="2135835662" w:edGrp="everyone" w:colFirst="1" w:colLast="1"/>
            <w:permEnd w:id="1656181867"/>
            <w:r w:rsidRPr="009F3D90">
              <w:rPr>
                <w:rFonts w:eastAsia="Calibri" w:cs="Arial"/>
                <w:b/>
                <w:szCs w:val="20"/>
              </w:rPr>
              <w:t>Acknowledgements</w:t>
            </w:r>
          </w:p>
        </w:tc>
        <w:tc>
          <w:tcPr>
            <w:tcW w:w="8370" w:type="dxa"/>
            <w:shd w:val="clear" w:color="auto" w:fill="auto"/>
          </w:tcPr>
          <w:p w14:paraId="233C63CC" w14:textId="5CAE9D53" w:rsidR="00416125" w:rsidRPr="009F3D90" w:rsidRDefault="00E1020E" w:rsidP="002571FC">
            <w:pPr>
              <w:jc w:val="both"/>
              <w:rPr>
                <w:rFonts w:eastAsia="Calibri" w:cs="Arial"/>
                <w:szCs w:val="20"/>
              </w:rPr>
            </w:pPr>
            <w:r>
              <w:rPr>
                <w:rFonts w:cs="Arial"/>
                <w:color w:val="000000"/>
                <w:szCs w:val="20"/>
              </w:rPr>
              <w:t>This work has been supported by the European Regional Development Fund project “Rapid assessment system of antibacterial resistance for patients with secondary bacterial infections” (No. 1.1.1.1/21/A/034).</w:t>
            </w:r>
          </w:p>
        </w:tc>
      </w:tr>
      <w:permEnd w:id="2135835662"/>
      <w:tr w:rsidR="009E0390" w:rsidRPr="002571FC" w14:paraId="4E1C81F0" w14:textId="77777777" w:rsidTr="00C025D5">
        <w:tc>
          <w:tcPr>
            <w:tcW w:w="1800" w:type="dxa"/>
            <w:shd w:val="clear" w:color="auto" w:fill="auto"/>
          </w:tcPr>
          <w:p w14:paraId="04A260C3" w14:textId="77777777" w:rsidR="00416125" w:rsidRPr="009F3D90" w:rsidRDefault="00416125" w:rsidP="002571FC">
            <w:pPr>
              <w:jc w:val="right"/>
              <w:rPr>
                <w:rFonts w:eastAsia="Calibri" w:cs="Arial"/>
                <w:b/>
                <w:szCs w:val="20"/>
              </w:rPr>
            </w:pPr>
            <w:r w:rsidRPr="009F3D90">
              <w:rPr>
                <w:rFonts w:eastAsia="Calibri" w:cs="Arial"/>
                <w:b/>
                <w:szCs w:val="20"/>
              </w:rPr>
              <w:t xml:space="preserve">References </w:t>
            </w:r>
          </w:p>
        </w:tc>
        <w:tc>
          <w:tcPr>
            <w:tcW w:w="8370" w:type="dxa"/>
            <w:shd w:val="clear" w:color="auto" w:fill="auto"/>
          </w:tcPr>
          <w:p w14:paraId="3AD27343" w14:textId="7C811ECB" w:rsidR="00E1020E" w:rsidRDefault="00E1020E" w:rsidP="00E1020E">
            <w:pPr>
              <w:pStyle w:val="Paraststmeklis"/>
              <w:spacing w:before="0" w:beforeAutospacing="0" w:after="0" w:afterAutospacing="0"/>
              <w:jc w:val="both"/>
            </w:pPr>
            <w:permStart w:id="1507729952" w:edGrp="everyone"/>
            <w:r>
              <w:rPr>
                <w:rFonts w:ascii="Arial" w:hAnsi="Arial" w:cs="Arial"/>
                <w:color w:val="000000"/>
                <w:sz w:val="20"/>
                <w:szCs w:val="20"/>
              </w:rPr>
              <w:t xml:space="preserve">[1] F.C. </w:t>
            </w:r>
            <w:proofErr w:type="spellStart"/>
            <w:r>
              <w:rPr>
                <w:rFonts w:ascii="Arial" w:hAnsi="Arial" w:cs="Arial"/>
                <w:color w:val="000000"/>
                <w:sz w:val="20"/>
                <w:szCs w:val="20"/>
              </w:rPr>
              <w:t>Tenover</w:t>
            </w:r>
            <w:proofErr w:type="spellEnd"/>
            <w:r>
              <w:rPr>
                <w:rFonts w:ascii="Arial" w:hAnsi="Arial" w:cs="Arial"/>
                <w:color w:val="000000"/>
                <w:sz w:val="20"/>
                <w:szCs w:val="20"/>
              </w:rPr>
              <w:t>, Encyclopedia of Microbiology, Antimicrobial Susceptibility Testing, Academic Press (2019).</w:t>
            </w:r>
          </w:p>
          <w:p w14:paraId="369CB54C" w14:textId="77777777" w:rsidR="00E1020E" w:rsidRDefault="00E1020E" w:rsidP="00E1020E">
            <w:pPr>
              <w:pStyle w:val="Paraststmeklis"/>
              <w:spacing w:before="0" w:beforeAutospacing="0" w:after="0" w:afterAutospacing="0"/>
              <w:jc w:val="both"/>
            </w:pPr>
            <w:r>
              <w:rPr>
                <w:rFonts w:ascii="Arial" w:hAnsi="Arial" w:cs="Arial"/>
                <w:color w:val="000000"/>
                <w:sz w:val="20"/>
                <w:szCs w:val="20"/>
              </w:rPr>
              <w:t xml:space="preserve">[2] B. </w:t>
            </w:r>
            <w:proofErr w:type="spellStart"/>
            <w:r>
              <w:rPr>
                <w:rFonts w:ascii="Arial" w:hAnsi="Arial" w:cs="Arial"/>
                <w:color w:val="000000"/>
                <w:sz w:val="20"/>
                <w:szCs w:val="20"/>
              </w:rPr>
              <w:t>Bonev</w:t>
            </w:r>
            <w:proofErr w:type="spellEnd"/>
            <w:r>
              <w:rPr>
                <w:rFonts w:ascii="Arial" w:hAnsi="Arial" w:cs="Arial"/>
                <w:color w:val="000000"/>
                <w:sz w:val="20"/>
                <w:szCs w:val="20"/>
              </w:rPr>
              <w:t xml:space="preserve">, J. Hooper, and J. Parisot, J. </w:t>
            </w:r>
            <w:proofErr w:type="spellStart"/>
            <w:r>
              <w:rPr>
                <w:rFonts w:ascii="Arial" w:hAnsi="Arial" w:cs="Arial"/>
                <w:color w:val="000000"/>
                <w:sz w:val="20"/>
                <w:szCs w:val="20"/>
              </w:rPr>
              <w:t>Antimicrob</w:t>
            </w:r>
            <w:proofErr w:type="spellEnd"/>
            <w:r>
              <w:rPr>
                <w:rFonts w:ascii="Arial" w:hAnsi="Arial" w:cs="Arial"/>
                <w:color w:val="000000"/>
                <w:sz w:val="20"/>
                <w:szCs w:val="20"/>
              </w:rPr>
              <w:t xml:space="preserve">. </w:t>
            </w:r>
            <w:proofErr w:type="spellStart"/>
            <w:r>
              <w:rPr>
                <w:rFonts w:ascii="Arial" w:hAnsi="Arial" w:cs="Arial"/>
                <w:color w:val="000000"/>
                <w:sz w:val="20"/>
                <w:szCs w:val="20"/>
              </w:rPr>
              <w:t>Chemother</w:t>
            </w:r>
            <w:proofErr w:type="spellEnd"/>
            <w:r>
              <w:rPr>
                <w:rFonts w:ascii="Arial" w:hAnsi="Arial" w:cs="Arial"/>
                <w:color w:val="000000"/>
                <w:sz w:val="20"/>
                <w:szCs w:val="20"/>
              </w:rPr>
              <w:t>. 61, 1295–1301 (2008).</w:t>
            </w:r>
          </w:p>
          <w:p w14:paraId="36BB64F3" w14:textId="00873ED9" w:rsidR="00416125" w:rsidRPr="009F3D90" w:rsidRDefault="00E1020E" w:rsidP="002571FC">
            <w:pPr>
              <w:jc w:val="both"/>
              <w:rPr>
                <w:rFonts w:eastAsia="Calibri" w:cs="Arial"/>
                <w:szCs w:val="20"/>
              </w:rPr>
            </w:pPr>
            <w:r>
              <w:rPr>
                <w:rFonts w:cs="Arial"/>
                <w:color w:val="000000"/>
                <w:szCs w:val="20"/>
              </w:rPr>
              <w:t>[3] EUCAST 2022, available online: https://www.eucast.org/clinical_breakpoints/</w:t>
            </w:r>
            <w:r w:rsidR="00A23872" w:rsidRPr="009F3D90">
              <w:rPr>
                <w:rFonts w:eastAsia="Calibri" w:cs="Arial"/>
                <w:szCs w:val="20"/>
              </w:rPr>
              <w:t>.</w:t>
            </w:r>
            <w:permEnd w:id="1507729952"/>
          </w:p>
        </w:tc>
      </w:tr>
    </w:tbl>
    <w:p w14:paraId="36B1AEDA" w14:textId="77777777" w:rsidR="009E0390" w:rsidRDefault="009E0390" w:rsidP="00A23872">
      <w:pPr>
        <w:autoSpaceDE w:val="0"/>
        <w:autoSpaceDN w:val="0"/>
        <w:adjustRightInd w:val="0"/>
        <w:jc w:val="center"/>
      </w:pPr>
    </w:p>
    <w:p w14:paraId="598DB2CA" w14:textId="77777777" w:rsidR="00587383" w:rsidRDefault="00587383" w:rsidP="00A23872">
      <w:pPr>
        <w:autoSpaceDE w:val="0"/>
        <w:autoSpaceDN w:val="0"/>
        <w:adjustRightInd w:val="0"/>
        <w:jc w:val="center"/>
        <w:rPr>
          <w:rFonts w:cs="Arial"/>
          <w:bCs/>
          <w:color w:val="000000"/>
          <w:szCs w:val="20"/>
        </w:rPr>
      </w:pPr>
    </w:p>
    <w:p w14:paraId="2C10E82B" w14:textId="77777777" w:rsidR="009E0390" w:rsidRDefault="009E0390" w:rsidP="00A23872">
      <w:pPr>
        <w:autoSpaceDE w:val="0"/>
        <w:autoSpaceDN w:val="0"/>
        <w:adjustRightInd w:val="0"/>
        <w:jc w:val="center"/>
        <w:rPr>
          <w:rFonts w:cs="Arial"/>
          <w:bCs/>
          <w:color w:val="000000"/>
          <w:szCs w:val="20"/>
        </w:rPr>
      </w:pPr>
    </w:p>
    <w:tbl>
      <w:tblPr>
        <w:tblW w:w="101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6863"/>
      </w:tblGrid>
      <w:tr w:rsidR="009E0390" w:rsidRPr="009F3D90" w14:paraId="27CE1575" w14:textId="77777777" w:rsidTr="009F3D90">
        <w:tc>
          <w:tcPr>
            <w:tcW w:w="3307" w:type="dxa"/>
            <w:shd w:val="clear" w:color="auto" w:fill="auto"/>
          </w:tcPr>
          <w:p w14:paraId="1FA78BF8" w14:textId="77777777" w:rsidR="009E0390" w:rsidRPr="009F3D90" w:rsidRDefault="009E0390" w:rsidP="009F3D90">
            <w:pPr>
              <w:rPr>
                <w:rFonts w:eastAsia="Calibri"/>
                <w:szCs w:val="20"/>
              </w:rPr>
            </w:pPr>
            <w:permStart w:id="182480900" w:edGrp="everyone"/>
            <w:r w:rsidRPr="009F3D90">
              <w:rPr>
                <w:rFonts w:eastAsia="Calibri"/>
                <w:szCs w:val="20"/>
              </w:rPr>
              <w:t>Topic</w:t>
            </w:r>
          </w:p>
        </w:tc>
        <w:tc>
          <w:tcPr>
            <w:tcW w:w="6863" w:type="dxa"/>
            <w:shd w:val="clear" w:color="auto" w:fill="auto"/>
          </w:tcPr>
          <w:p w14:paraId="79B17478" w14:textId="15DC78AF" w:rsidR="009E0390" w:rsidRPr="009F3D90" w:rsidRDefault="00BF1F1D" w:rsidP="009F3D90">
            <w:pPr>
              <w:rPr>
                <w:rFonts w:eastAsia="Calibri"/>
                <w:szCs w:val="20"/>
              </w:rPr>
            </w:pPr>
            <w:r w:rsidRPr="00BF1F1D">
              <w:rPr>
                <w:rFonts w:eastAsia="Calibri"/>
                <w:i/>
                <w:szCs w:val="20"/>
              </w:rPr>
              <w:t xml:space="preserve">Biosensing and </w:t>
            </w:r>
            <w:proofErr w:type="spellStart"/>
            <w:r w:rsidRPr="00BF1F1D">
              <w:rPr>
                <w:rFonts w:eastAsia="Calibri"/>
                <w:i/>
                <w:szCs w:val="20"/>
              </w:rPr>
              <w:t>Biosignal</w:t>
            </w:r>
            <w:proofErr w:type="spellEnd"/>
            <w:r w:rsidRPr="00BF1F1D">
              <w:rPr>
                <w:rFonts w:eastAsia="Calibri"/>
                <w:i/>
                <w:szCs w:val="20"/>
              </w:rPr>
              <w:t xml:space="preserve"> Analysis and Processing</w:t>
            </w:r>
          </w:p>
        </w:tc>
      </w:tr>
      <w:tr w:rsidR="009E0390" w:rsidRPr="009F3D90" w14:paraId="1252687F" w14:textId="77777777" w:rsidTr="009F3D90">
        <w:tc>
          <w:tcPr>
            <w:tcW w:w="3307" w:type="dxa"/>
            <w:shd w:val="clear" w:color="auto" w:fill="auto"/>
          </w:tcPr>
          <w:p w14:paraId="2819F8B4" w14:textId="77777777" w:rsidR="009E0390" w:rsidRPr="009F3D90" w:rsidRDefault="009E0390" w:rsidP="009F3D90">
            <w:pPr>
              <w:rPr>
                <w:rFonts w:eastAsia="Calibri"/>
                <w:szCs w:val="20"/>
              </w:rPr>
            </w:pPr>
            <w:r w:rsidRPr="009F3D90">
              <w:rPr>
                <w:rFonts w:eastAsia="Calibri"/>
                <w:szCs w:val="20"/>
              </w:rPr>
              <w:t xml:space="preserve">Preferable type of presentation  </w:t>
            </w:r>
          </w:p>
        </w:tc>
        <w:tc>
          <w:tcPr>
            <w:tcW w:w="6863" w:type="dxa"/>
            <w:shd w:val="clear" w:color="auto" w:fill="auto"/>
          </w:tcPr>
          <w:p w14:paraId="0766EB02" w14:textId="77777777" w:rsidR="009E0390" w:rsidRPr="009F3D90" w:rsidRDefault="009E0390" w:rsidP="009F3D90">
            <w:pPr>
              <w:rPr>
                <w:rFonts w:eastAsia="Calibri"/>
                <w:szCs w:val="20"/>
              </w:rPr>
            </w:pPr>
            <w:r w:rsidRPr="009F3D90">
              <w:rPr>
                <w:rFonts w:eastAsia="Calibri"/>
                <w:szCs w:val="20"/>
              </w:rPr>
              <w:t xml:space="preserve">Oral      </w:t>
            </w:r>
            <w:r w:rsidRPr="00E1020E">
              <w:rPr>
                <w:rFonts w:eastAsia="Calibri"/>
                <w:b/>
                <w:bCs/>
                <w:szCs w:val="20"/>
              </w:rPr>
              <w:t xml:space="preserve">Poster </w:t>
            </w:r>
            <w:r w:rsidR="00C025D5" w:rsidRPr="009F3D90">
              <w:rPr>
                <w:rFonts w:eastAsia="Calibri"/>
                <w:szCs w:val="20"/>
              </w:rPr>
              <w:t xml:space="preserve">  </w:t>
            </w:r>
          </w:p>
        </w:tc>
      </w:tr>
      <w:permEnd w:id="182480900"/>
    </w:tbl>
    <w:p w14:paraId="7E7F8F86" w14:textId="77777777" w:rsidR="009E0390" w:rsidRPr="00A23872" w:rsidRDefault="009E0390" w:rsidP="00A23872">
      <w:pPr>
        <w:autoSpaceDE w:val="0"/>
        <w:autoSpaceDN w:val="0"/>
        <w:adjustRightInd w:val="0"/>
        <w:jc w:val="center"/>
        <w:rPr>
          <w:rFonts w:cs="Arial"/>
          <w:bCs/>
          <w:color w:val="000000"/>
          <w:szCs w:val="20"/>
        </w:rPr>
      </w:pPr>
    </w:p>
    <w:sectPr w:rsidR="009E0390" w:rsidRPr="00A23872" w:rsidSect="006A32E5">
      <w:headerReference w:type="default" r:id="rId11"/>
      <w:pgSz w:w="12240" w:h="15840"/>
      <w:pgMar w:top="1440" w:right="1608" w:bottom="1440" w:left="180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63A9D" w14:textId="77777777" w:rsidR="00500CEF" w:rsidRDefault="00500CEF">
      <w:r>
        <w:separator/>
      </w:r>
    </w:p>
  </w:endnote>
  <w:endnote w:type="continuationSeparator" w:id="0">
    <w:p w14:paraId="7CA818AF" w14:textId="77777777" w:rsidR="00500CEF" w:rsidRDefault="00500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DC1E4" w14:textId="77777777" w:rsidR="00500CEF" w:rsidRDefault="00500CEF">
      <w:r>
        <w:separator/>
      </w:r>
    </w:p>
  </w:footnote>
  <w:footnote w:type="continuationSeparator" w:id="0">
    <w:p w14:paraId="5A6E455A" w14:textId="77777777" w:rsidR="00500CEF" w:rsidRDefault="00500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4A0" w:firstRow="1" w:lastRow="0" w:firstColumn="1" w:lastColumn="0" w:noHBand="0" w:noVBand="1"/>
    </w:tblPr>
    <w:tblGrid>
      <w:gridCol w:w="3364"/>
      <w:gridCol w:w="5468"/>
    </w:tblGrid>
    <w:tr w:rsidR="0063354E" w:rsidRPr="0063354E" w14:paraId="1AF290E1" w14:textId="77777777" w:rsidTr="0063354E">
      <w:trPr>
        <w:jc w:val="right"/>
      </w:trPr>
      <w:tc>
        <w:tcPr>
          <w:tcW w:w="3438" w:type="dxa"/>
          <w:shd w:val="clear" w:color="auto" w:fill="auto"/>
        </w:tcPr>
        <w:p w14:paraId="06AE3D02" w14:textId="77777777" w:rsidR="0063354E" w:rsidRPr="0063354E" w:rsidRDefault="00DC0A4A" w:rsidP="0063354E">
          <w:pPr>
            <w:pStyle w:val="Galvene"/>
            <w:jc w:val="right"/>
            <w:rPr>
              <w:b/>
              <w:szCs w:val="20"/>
            </w:rPr>
          </w:pPr>
          <w:r>
            <w:rPr>
              <w:b/>
              <w:noProof/>
              <w:szCs w:val="20"/>
            </w:rPr>
            <w:drawing>
              <wp:inline distT="0" distB="0" distL="0" distR="0" wp14:anchorId="3F984B91" wp14:editId="5097BF22">
                <wp:extent cx="565785" cy="718185"/>
                <wp:effectExtent l="0" t="0" r="0" b="0"/>
                <wp:docPr id="1" name="Picture 1" descr="emp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e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 cy="718185"/>
                        </a:xfrm>
                        <a:prstGeom prst="rect">
                          <a:avLst/>
                        </a:prstGeom>
                        <a:noFill/>
                        <a:ln>
                          <a:noFill/>
                        </a:ln>
                      </pic:spPr>
                    </pic:pic>
                  </a:graphicData>
                </a:graphic>
              </wp:inline>
            </w:drawing>
          </w:r>
        </w:p>
      </w:tc>
      <w:tc>
        <w:tcPr>
          <w:tcW w:w="5610" w:type="dxa"/>
          <w:shd w:val="clear" w:color="auto" w:fill="auto"/>
        </w:tcPr>
        <w:p w14:paraId="656727ED" w14:textId="77777777" w:rsidR="0063354E" w:rsidRPr="0063354E" w:rsidRDefault="0063354E" w:rsidP="0063354E">
          <w:pPr>
            <w:pStyle w:val="Galvene"/>
            <w:jc w:val="center"/>
            <w:rPr>
              <w:b/>
              <w:szCs w:val="20"/>
            </w:rPr>
          </w:pPr>
        </w:p>
        <w:p w14:paraId="4173A3C3" w14:textId="77777777" w:rsidR="004D6DF1" w:rsidRDefault="0063354E" w:rsidP="0063354E">
          <w:pPr>
            <w:pStyle w:val="Galvene"/>
            <w:rPr>
              <w:b/>
              <w:szCs w:val="20"/>
            </w:rPr>
          </w:pPr>
          <w:r w:rsidRPr="0063354E">
            <w:rPr>
              <w:b/>
              <w:szCs w:val="20"/>
            </w:rPr>
            <w:t xml:space="preserve">NBC2023 </w:t>
          </w:r>
        </w:p>
        <w:p w14:paraId="0C5E4290" w14:textId="77777777" w:rsidR="004D6DF1" w:rsidRDefault="0063354E" w:rsidP="0063354E">
          <w:pPr>
            <w:pStyle w:val="Galvene"/>
            <w:rPr>
              <w:b/>
              <w:szCs w:val="20"/>
            </w:rPr>
          </w:pPr>
          <w:r w:rsidRPr="0063354E">
            <w:rPr>
              <w:b/>
              <w:szCs w:val="20"/>
            </w:rPr>
            <w:t>12-14 June, 2023</w:t>
          </w:r>
        </w:p>
        <w:p w14:paraId="172C562C" w14:textId="77777777" w:rsidR="0063354E" w:rsidRPr="0063354E" w:rsidRDefault="0063354E" w:rsidP="0063354E">
          <w:pPr>
            <w:pStyle w:val="Galvene"/>
            <w:rPr>
              <w:b/>
              <w:szCs w:val="20"/>
            </w:rPr>
          </w:pPr>
          <w:r w:rsidRPr="0063354E">
            <w:rPr>
              <w:b/>
              <w:szCs w:val="20"/>
            </w:rPr>
            <w:t>Liepaja, Latvia</w:t>
          </w:r>
        </w:p>
      </w:tc>
    </w:tr>
  </w:tbl>
  <w:p w14:paraId="66ACD8BC" w14:textId="77777777" w:rsidR="00341D53" w:rsidRPr="0063354E" w:rsidRDefault="00341D53" w:rsidP="0063354E">
    <w:pPr>
      <w:pStyle w:val="Galve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01680"/>
    <w:multiLevelType w:val="hybridMultilevel"/>
    <w:tmpl w:val="B3461DA2"/>
    <w:lvl w:ilvl="0" w:tplc="DAFC85F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214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rBDpSDjYbaViLxZzY0oiWBmgC4exoaJVfM44rcpYoRCPYbmXQRaxIN2W1DizROcvNHYoq6LDb91q4Y5LZ1U8hg==" w:salt="IUoEAWzSPGgcLuM48dzUy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26E"/>
    <w:rsid w:val="0001626E"/>
    <w:rsid w:val="0004266C"/>
    <w:rsid w:val="00051672"/>
    <w:rsid w:val="000922F8"/>
    <w:rsid w:val="000A3237"/>
    <w:rsid w:val="000C153E"/>
    <w:rsid w:val="000D29A7"/>
    <w:rsid w:val="000D2B9C"/>
    <w:rsid w:val="001164BC"/>
    <w:rsid w:val="00145FD5"/>
    <w:rsid w:val="00163F33"/>
    <w:rsid w:val="001B15E4"/>
    <w:rsid w:val="002351FD"/>
    <w:rsid w:val="002571FC"/>
    <w:rsid w:val="0029344D"/>
    <w:rsid w:val="002D2C90"/>
    <w:rsid w:val="002D670B"/>
    <w:rsid w:val="002F346D"/>
    <w:rsid w:val="002F7FCC"/>
    <w:rsid w:val="00325A2B"/>
    <w:rsid w:val="00341D53"/>
    <w:rsid w:val="003807F8"/>
    <w:rsid w:val="003811BA"/>
    <w:rsid w:val="003D0C2C"/>
    <w:rsid w:val="00416125"/>
    <w:rsid w:val="004341F1"/>
    <w:rsid w:val="00450AB4"/>
    <w:rsid w:val="00481E9C"/>
    <w:rsid w:val="00484AAD"/>
    <w:rsid w:val="0049442C"/>
    <w:rsid w:val="004A7111"/>
    <w:rsid w:val="004D6DF1"/>
    <w:rsid w:val="00500CEF"/>
    <w:rsid w:val="00537E1D"/>
    <w:rsid w:val="00587383"/>
    <w:rsid w:val="0063354E"/>
    <w:rsid w:val="006A32E5"/>
    <w:rsid w:val="007435C1"/>
    <w:rsid w:val="00761BDE"/>
    <w:rsid w:val="007A71DE"/>
    <w:rsid w:val="007E6978"/>
    <w:rsid w:val="008003D8"/>
    <w:rsid w:val="008029B6"/>
    <w:rsid w:val="00825FE5"/>
    <w:rsid w:val="0082627F"/>
    <w:rsid w:val="0087788C"/>
    <w:rsid w:val="008B2D87"/>
    <w:rsid w:val="00954E16"/>
    <w:rsid w:val="009A1E83"/>
    <w:rsid w:val="009A279A"/>
    <w:rsid w:val="009E0390"/>
    <w:rsid w:val="009F3D90"/>
    <w:rsid w:val="00A23872"/>
    <w:rsid w:val="00A27A72"/>
    <w:rsid w:val="00A87313"/>
    <w:rsid w:val="00AB0F43"/>
    <w:rsid w:val="00AB2CCE"/>
    <w:rsid w:val="00AF01FC"/>
    <w:rsid w:val="00B94D0D"/>
    <w:rsid w:val="00BF1F1D"/>
    <w:rsid w:val="00C025D5"/>
    <w:rsid w:val="00C02F98"/>
    <w:rsid w:val="00C33C93"/>
    <w:rsid w:val="00C51E0B"/>
    <w:rsid w:val="00CE5DC2"/>
    <w:rsid w:val="00D45480"/>
    <w:rsid w:val="00DB52FD"/>
    <w:rsid w:val="00DC0A4A"/>
    <w:rsid w:val="00DD60A4"/>
    <w:rsid w:val="00DE0784"/>
    <w:rsid w:val="00E00460"/>
    <w:rsid w:val="00E1020E"/>
    <w:rsid w:val="00E25B2A"/>
    <w:rsid w:val="00EA7795"/>
    <w:rsid w:val="00F51598"/>
    <w:rsid w:val="00F76FD8"/>
    <w:rsid w:val="00F85072"/>
    <w:rsid w:val="00FF1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DD9140"/>
  <w15:chartTrackingRefBased/>
  <w15:docId w15:val="{66BD9A43-E862-49DA-850C-5041CBE5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aliases w:val="For text"/>
    <w:qFormat/>
    <w:rsid w:val="009F3D90"/>
    <w:rPr>
      <w:rFonts w:ascii="Arial" w:hAnsi="Arial"/>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semiHidden/>
    <w:pPr>
      <w:tabs>
        <w:tab w:val="center" w:pos="4320"/>
        <w:tab w:val="right" w:pos="8640"/>
      </w:tabs>
    </w:pPr>
  </w:style>
  <w:style w:type="paragraph" w:styleId="Kjene">
    <w:name w:val="footer"/>
    <w:basedOn w:val="Parasts"/>
    <w:semiHidden/>
    <w:pPr>
      <w:tabs>
        <w:tab w:val="center" w:pos="4320"/>
        <w:tab w:val="right" w:pos="8640"/>
      </w:tabs>
    </w:pPr>
  </w:style>
  <w:style w:type="character" w:styleId="Hipersaite">
    <w:name w:val="Hyperlink"/>
    <w:semiHidden/>
    <w:rPr>
      <w:color w:val="0000FF"/>
      <w:u w:val="single"/>
    </w:rPr>
  </w:style>
  <w:style w:type="paragraph" w:styleId="Pamatteksts">
    <w:name w:val="Body Text"/>
    <w:basedOn w:val="Parasts"/>
    <w:semiHidden/>
    <w:pPr>
      <w:autoSpaceDE w:val="0"/>
      <w:autoSpaceDN w:val="0"/>
      <w:adjustRightInd w:val="0"/>
    </w:pPr>
    <w:rPr>
      <w:rFonts w:ascii="ArialMT" w:hAnsi="ArialMT"/>
      <w:color w:val="000000"/>
      <w:sz w:val="22"/>
      <w:szCs w:val="22"/>
    </w:rPr>
  </w:style>
  <w:style w:type="character" w:customStyle="1" w:styleId="Neatrisintapieminana1">
    <w:name w:val="Neatrisināta pieminēšana1"/>
    <w:uiPriority w:val="99"/>
    <w:semiHidden/>
    <w:unhideWhenUsed/>
    <w:rsid w:val="002F346D"/>
    <w:rPr>
      <w:color w:val="808080"/>
      <w:shd w:val="clear" w:color="auto" w:fill="E6E6E6"/>
    </w:rPr>
  </w:style>
  <w:style w:type="paragraph" w:customStyle="1" w:styleId="Arialtitle">
    <w:name w:val="|Arial title"/>
    <w:basedOn w:val="Saturs1"/>
    <w:next w:val="Pamatteksts"/>
    <w:rsid w:val="004341F1"/>
    <w:pPr>
      <w:ind w:firstLine="360"/>
      <w:jc w:val="center"/>
    </w:pPr>
    <w:rPr>
      <w:b/>
      <w:caps/>
      <w:sz w:val="22"/>
      <w:szCs w:val="20"/>
    </w:rPr>
  </w:style>
  <w:style w:type="paragraph" w:customStyle="1" w:styleId="IndexTerms">
    <w:name w:val="IndexTerms"/>
    <w:basedOn w:val="Parasts"/>
    <w:next w:val="Parasts"/>
    <w:rsid w:val="0082627F"/>
    <w:pPr>
      <w:autoSpaceDE w:val="0"/>
      <w:autoSpaceDN w:val="0"/>
      <w:ind w:firstLine="202"/>
      <w:jc w:val="both"/>
    </w:pPr>
    <w:rPr>
      <w:b/>
      <w:bCs/>
      <w:sz w:val="18"/>
      <w:szCs w:val="18"/>
    </w:rPr>
  </w:style>
  <w:style w:type="paragraph" w:styleId="Balonteksts">
    <w:name w:val="Balloon Text"/>
    <w:basedOn w:val="Parasts"/>
    <w:link w:val="BalontekstsRakstz"/>
    <w:uiPriority w:val="99"/>
    <w:semiHidden/>
    <w:unhideWhenUsed/>
    <w:rsid w:val="00AB0F43"/>
    <w:rPr>
      <w:rFonts w:ascii="Segoe UI" w:hAnsi="Segoe UI" w:cs="Segoe UI"/>
      <w:sz w:val="18"/>
      <w:szCs w:val="18"/>
    </w:rPr>
  </w:style>
  <w:style w:type="character" w:customStyle="1" w:styleId="BalontekstsRakstz">
    <w:name w:val="Balonteksts Rakstz."/>
    <w:link w:val="Balonteksts"/>
    <w:uiPriority w:val="99"/>
    <w:semiHidden/>
    <w:rsid w:val="00AB0F43"/>
    <w:rPr>
      <w:rFonts w:ascii="Segoe UI" w:hAnsi="Segoe UI" w:cs="Segoe UI"/>
      <w:sz w:val="18"/>
      <w:szCs w:val="18"/>
      <w:lang w:val="en-US" w:eastAsia="en-US"/>
    </w:rPr>
  </w:style>
  <w:style w:type="table" w:styleId="Reatabula">
    <w:name w:val="Table Grid"/>
    <w:basedOn w:val="Parastatabula"/>
    <w:uiPriority w:val="59"/>
    <w:rsid w:val="00633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uiPriority w:val="99"/>
    <w:semiHidden/>
    <w:unhideWhenUsed/>
    <w:rsid w:val="00163F33"/>
    <w:rPr>
      <w:color w:val="954F72"/>
      <w:u w:val="single"/>
    </w:rPr>
  </w:style>
  <w:style w:type="paragraph" w:styleId="Saturs1">
    <w:name w:val="toc 1"/>
    <w:basedOn w:val="Parasts"/>
    <w:next w:val="Parasts"/>
    <w:autoRedefine/>
    <w:uiPriority w:val="39"/>
    <w:semiHidden/>
    <w:unhideWhenUsed/>
    <w:rsid w:val="004341F1"/>
    <w:pPr>
      <w:spacing w:after="100"/>
    </w:pPr>
  </w:style>
  <w:style w:type="paragraph" w:styleId="Paraststmeklis">
    <w:name w:val="Normal (Web)"/>
    <w:basedOn w:val="Parasts"/>
    <w:uiPriority w:val="99"/>
    <w:unhideWhenUsed/>
    <w:rsid w:val="00E1020E"/>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3867">
      <w:bodyDiv w:val="1"/>
      <w:marLeft w:val="0"/>
      <w:marRight w:val="0"/>
      <w:marTop w:val="0"/>
      <w:marBottom w:val="0"/>
      <w:divBdr>
        <w:top w:val="none" w:sz="0" w:space="0" w:color="auto"/>
        <w:left w:val="none" w:sz="0" w:space="0" w:color="auto"/>
        <w:bottom w:val="none" w:sz="0" w:space="0" w:color="auto"/>
        <w:right w:val="none" w:sz="0" w:space="0" w:color="auto"/>
      </w:divBdr>
    </w:div>
    <w:div w:id="714427895">
      <w:bodyDiv w:val="1"/>
      <w:marLeft w:val="0"/>
      <w:marRight w:val="0"/>
      <w:marTop w:val="0"/>
      <w:marBottom w:val="0"/>
      <w:divBdr>
        <w:top w:val="none" w:sz="0" w:space="0" w:color="auto"/>
        <w:left w:val="none" w:sz="0" w:space="0" w:color="auto"/>
        <w:bottom w:val="none" w:sz="0" w:space="0" w:color="auto"/>
        <w:right w:val="none" w:sz="0" w:space="0" w:color="auto"/>
      </w:divBdr>
    </w:div>
    <w:div w:id="1025711425">
      <w:bodyDiv w:val="1"/>
      <w:marLeft w:val="0"/>
      <w:marRight w:val="0"/>
      <w:marTop w:val="0"/>
      <w:marBottom w:val="0"/>
      <w:divBdr>
        <w:top w:val="none" w:sz="0" w:space="0" w:color="auto"/>
        <w:left w:val="none" w:sz="0" w:space="0" w:color="auto"/>
        <w:bottom w:val="none" w:sz="0" w:space="0" w:color="auto"/>
        <w:right w:val="none" w:sz="0" w:space="0" w:color="auto"/>
      </w:divBdr>
    </w:div>
    <w:div w:id="1122921445">
      <w:bodyDiv w:val="1"/>
      <w:marLeft w:val="0"/>
      <w:marRight w:val="0"/>
      <w:marTop w:val="0"/>
      <w:marBottom w:val="0"/>
      <w:divBdr>
        <w:top w:val="none" w:sz="0" w:space="0" w:color="auto"/>
        <w:left w:val="none" w:sz="0" w:space="0" w:color="auto"/>
        <w:bottom w:val="none" w:sz="0" w:space="0" w:color="auto"/>
        <w:right w:val="none" w:sz="0" w:space="0" w:color="auto"/>
      </w:divBdr>
    </w:div>
    <w:div w:id="1255897844">
      <w:bodyDiv w:val="1"/>
      <w:marLeft w:val="0"/>
      <w:marRight w:val="0"/>
      <w:marTop w:val="0"/>
      <w:marBottom w:val="0"/>
      <w:divBdr>
        <w:top w:val="none" w:sz="0" w:space="0" w:color="auto"/>
        <w:left w:val="none" w:sz="0" w:space="0" w:color="auto"/>
        <w:bottom w:val="none" w:sz="0" w:space="0" w:color="auto"/>
        <w:right w:val="none" w:sz="0" w:space="0" w:color="auto"/>
      </w:divBdr>
    </w:div>
    <w:div w:id="1472865536">
      <w:bodyDiv w:val="1"/>
      <w:marLeft w:val="0"/>
      <w:marRight w:val="0"/>
      <w:marTop w:val="0"/>
      <w:marBottom w:val="0"/>
      <w:divBdr>
        <w:top w:val="none" w:sz="0" w:space="0" w:color="auto"/>
        <w:left w:val="none" w:sz="0" w:space="0" w:color="auto"/>
        <w:bottom w:val="none" w:sz="0" w:space="0" w:color="auto"/>
        <w:right w:val="none" w:sz="0" w:space="0" w:color="auto"/>
      </w:divBdr>
    </w:div>
    <w:div w:id="1529564640">
      <w:bodyDiv w:val="1"/>
      <w:marLeft w:val="0"/>
      <w:marRight w:val="0"/>
      <w:marTop w:val="0"/>
      <w:marBottom w:val="0"/>
      <w:divBdr>
        <w:top w:val="none" w:sz="0" w:space="0" w:color="auto"/>
        <w:left w:val="none" w:sz="0" w:space="0" w:color="auto"/>
        <w:bottom w:val="none" w:sz="0" w:space="0" w:color="auto"/>
        <w:right w:val="none" w:sz="0" w:space="0" w:color="auto"/>
      </w:divBdr>
    </w:div>
    <w:div w:id="212167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B116AB82A92F4F92F0F370EFB9F0BE" ma:contentTypeVersion="15" ma:contentTypeDescription="Create a new document." ma:contentTypeScope="" ma:versionID="f0b9277356d819b1c1c0aa585041abd2">
  <xsd:schema xmlns:xsd="http://www.w3.org/2001/XMLSchema" xmlns:xs="http://www.w3.org/2001/XMLSchema" xmlns:p="http://schemas.microsoft.com/office/2006/metadata/properties" xmlns:ns3="855d5c9a-2340-4b70-b8df-8dd9ee469f0f" xmlns:ns4="e8d88886-325e-44bb-bd3f-9b97b493b18b" targetNamespace="http://schemas.microsoft.com/office/2006/metadata/properties" ma:root="true" ma:fieldsID="5e11f5a029378ef120949e7420c8d47b" ns3:_="" ns4:_="">
    <xsd:import namespace="855d5c9a-2340-4b70-b8df-8dd9ee469f0f"/>
    <xsd:import namespace="e8d88886-325e-44bb-bd3f-9b97b493b18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d5c9a-2340-4b70-b8df-8dd9ee469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d88886-325e-44bb-bd3f-9b97b493b18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855d5c9a-2340-4b70-b8df-8dd9ee469f0f" xsi:nil="true"/>
  </documentManagement>
</p:properties>
</file>

<file path=customXml/itemProps1.xml><?xml version="1.0" encoding="utf-8"?>
<ds:datastoreItem xmlns:ds="http://schemas.openxmlformats.org/officeDocument/2006/customXml" ds:itemID="{17ECD4A4-98CC-4091-9908-45A61608C66B}">
  <ds:schemaRefs>
    <ds:schemaRef ds:uri="http://schemas.openxmlformats.org/officeDocument/2006/bibliography"/>
  </ds:schemaRefs>
</ds:datastoreItem>
</file>

<file path=customXml/itemProps2.xml><?xml version="1.0" encoding="utf-8"?>
<ds:datastoreItem xmlns:ds="http://schemas.openxmlformats.org/officeDocument/2006/customXml" ds:itemID="{434D447E-A7FF-4671-8328-D5DA9E1794D6}">
  <ds:schemaRefs>
    <ds:schemaRef ds:uri="http://schemas.microsoft.com/sharepoint/v3/contenttype/forms"/>
  </ds:schemaRefs>
</ds:datastoreItem>
</file>

<file path=customXml/itemProps3.xml><?xml version="1.0" encoding="utf-8"?>
<ds:datastoreItem xmlns:ds="http://schemas.openxmlformats.org/officeDocument/2006/customXml" ds:itemID="{60122F3C-CD8D-45E4-81A5-08B991608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d5c9a-2340-4b70-b8df-8dd9ee469f0f"/>
    <ds:schemaRef ds:uri="e8d88886-325e-44bb-bd3f-9b97b493b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4FD349-A328-4780-A2E2-3308BBBDCA28}">
  <ds:schemaRefs>
    <ds:schemaRef ds:uri="http://schemas.microsoft.com/office/2006/metadata/properties"/>
    <ds:schemaRef ds:uri="http://schemas.microsoft.com/office/infopath/2007/PartnerControls"/>
    <ds:schemaRef ds:uri="855d5c9a-2340-4b70-b8df-8dd9ee469f0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496</Words>
  <Characters>2833</Characters>
  <Application>Microsoft Office Word</Application>
  <DocSecurity>8</DocSecurity>
  <Lines>23</Lines>
  <Paragraphs>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Youth Conference Registration Form</vt:lpstr>
      <vt:lpstr>Youth Conference Registration Form</vt:lpstr>
    </vt:vector>
  </TitlesOfParts>
  <Company>personal</Company>
  <LinksUpToDate>false</LinksUpToDate>
  <CharactersWithSpaces>3323</CharactersWithSpaces>
  <SharedDoc>false</SharedDoc>
  <HLinks>
    <vt:vector size="6" baseType="variant">
      <vt:variant>
        <vt:i4>5439603</vt:i4>
      </vt:variant>
      <vt:variant>
        <vt:i4>0</vt:i4>
      </vt:variant>
      <vt:variant>
        <vt:i4>0</vt:i4>
      </vt:variant>
      <vt:variant>
        <vt:i4>5</vt:i4>
      </vt:variant>
      <vt:variant>
        <vt:lpwstr>https://nbc2023.lmifb.lv/?page_id=52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Conference Registration Form</dc:title>
  <dc:subject/>
  <dc:creator>HP Authorized Customer</dc:creator>
  <cp:keywords/>
  <dc:description/>
  <cp:lastModifiedBy>Ilze Lihacova</cp:lastModifiedBy>
  <cp:revision>2</cp:revision>
  <cp:lastPrinted>2018-01-09T16:50:00Z</cp:lastPrinted>
  <dcterms:created xsi:type="dcterms:W3CDTF">2023-02-24T08:13:00Z</dcterms:created>
  <dcterms:modified xsi:type="dcterms:W3CDTF">2023-02-24T08:13:00Z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3b078c7dbe87ce6bafe0673b489aca228f457b502f3a4d4fb83e11a4f77cca57</vt:lpwstr>
  </property>
  <property fmtid="{D5CDD505-2E9C-101B-9397-08002B2CF9AE}" pid="3" name="ContentTypeId">
    <vt:lpwstr>0x0101000DB116AB82A92F4F92F0F370EFB9F0BE</vt:lpwstr>
  </property>
</Properties>
</file>