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C2" w:rsidRDefault="001F56C2" w:rsidP="001F56C2">
      <w:pPr>
        <w:spacing w:after="0" w:line="240" w:lineRule="auto"/>
        <w:jc w:val="right"/>
        <w:rPr>
          <w:rFonts w:ascii="Times New Roman" w:hAnsi="Times New Roman"/>
          <w:bCs/>
          <w:iCs/>
          <w:sz w:val="24"/>
          <w:szCs w:val="24"/>
          <w:lang w:val="lv-LV"/>
        </w:rPr>
      </w:pPr>
      <w:r>
        <w:rPr>
          <w:rFonts w:ascii="Times New Roman" w:hAnsi="Times New Roman"/>
          <w:bCs/>
          <w:iCs/>
          <w:sz w:val="24"/>
          <w:szCs w:val="24"/>
          <w:lang w:val="lv-LV"/>
        </w:rPr>
        <w:t>4. pielikums</w:t>
      </w:r>
    </w:p>
    <w:p w:rsidR="001F56C2" w:rsidRDefault="001F56C2" w:rsidP="001F56C2">
      <w:pPr>
        <w:tabs>
          <w:tab w:val="left" w:pos="938"/>
          <w:tab w:val="right" w:pos="8968"/>
        </w:tabs>
        <w:spacing w:after="0" w:line="240" w:lineRule="auto"/>
        <w:ind w:right="58" w:firstLine="567"/>
        <w:jc w:val="right"/>
        <w:rPr>
          <w:rFonts w:ascii="Times New Roman" w:hAnsi="Times New Roman"/>
          <w:i/>
          <w:sz w:val="24"/>
          <w:szCs w:val="24"/>
          <w:lang w:val="lv-LV"/>
        </w:rPr>
      </w:pPr>
      <w:r>
        <w:rPr>
          <w:rFonts w:ascii="Times New Roman" w:hAnsi="Times New Roman"/>
          <w:i/>
          <w:sz w:val="24"/>
          <w:szCs w:val="24"/>
          <w:lang w:val="lv-LV"/>
        </w:rPr>
        <w:t>Konfidencialitātes līguma projekts</w:t>
      </w:r>
    </w:p>
    <w:p w:rsidR="001F56C2" w:rsidRDefault="001F56C2" w:rsidP="001F56C2">
      <w:pPr>
        <w:spacing w:after="0" w:line="240" w:lineRule="auto"/>
        <w:ind w:right="724" w:firstLine="567"/>
        <w:jc w:val="center"/>
        <w:rPr>
          <w:rFonts w:ascii="Times New Roman" w:hAnsi="Times New Roman"/>
          <w:i/>
          <w:sz w:val="24"/>
          <w:szCs w:val="24"/>
          <w:lang w:val="lv-LV"/>
        </w:rPr>
      </w:pPr>
    </w:p>
    <w:p w:rsidR="001F56C2" w:rsidRDefault="001F56C2" w:rsidP="001F56C2">
      <w:pPr>
        <w:spacing w:after="0" w:line="240" w:lineRule="auto"/>
        <w:ind w:right="724" w:firstLine="567"/>
        <w:jc w:val="center"/>
        <w:rPr>
          <w:rFonts w:ascii="Times New Roman" w:hAnsi="Times New Roman"/>
          <w:i/>
          <w:sz w:val="24"/>
          <w:szCs w:val="24"/>
          <w:lang w:val="lv-LV"/>
        </w:rPr>
      </w:pPr>
    </w:p>
    <w:p w:rsidR="001F56C2" w:rsidRDefault="001F56C2" w:rsidP="001F56C2">
      <w:pPr>
        <w:spacing w:after="0" w:line="240" w:lineRule="auto"/>
        <w:ind w:right="724" w:firstLine="567"/>
        <w:jc w:val="center"/>
        <w:rPr>
          <w:rFonts w:ascii="Times New Roman" w:hAnsi="Times New Roman"/>
          <w:b/>
          <w:bCs/>
          <w:sz w:val="28"/>
          <w:szCs w:val="28"/>
          <w:lang w:val="lv-LV"/>
        </w:rPr>
      </w:pPr>
      <w:bookmarkStart w:id="0" w:name="_GoBack"/>
      <w:r>
        <w:rPr>
          <w:rFonts w:ascii="Times New Roman" w:hAnsi="Times New Roman"/>
          <w:b/>
          <w:bCs/>
          <w:sz w:val="28"/>
          <w:szCs w:val="28"/>
          <w:lang w:val="lv-LV"/>
        </w:rPr>
        <w:t>Konfidencialitātes līgums</w:t>
      </w:r>
      <w:bookmarkEnd w:id="0"/>
    </w:p>
    <w:p w:rsidR="001F56C2" w:rsidRDefault="001F56C2" w:rsidP="001F56C2">
      <w:pPr>
        <w:spacing w:after="0" w:line="240" w:lineRule="auto"/>
        <w:ind w:right="724" w:firstLine="567"/>
        <w:jc w:val="center"/>
        <w:rPr>
          <w:rFonts w:ascii="Times New Roman" w:hAnsi="Times New Roman"/>
          <w:b/>
          <w:bCs/>
          <w:sz w:val="28"/>
          <w:szCs w:val="28"/>
          <w:lang w:val="lv-LV"/>
        </w:rPr>
      </w:pPr>
    </w:p>
    <w:p w:rsidR="001F56C2" w:rsidRDefault="001F56C2" w:rsidP="001F56C2">
      <w:pPr>
        <w:spacing w:after="0" w:line="240" w:lineRule="auto"/>
        <w:ind w:right="724"/>
        <w:rPr>
          <w:rFonts w:ascii="Times New Roman" w:hAnsi="Times New Roman"/>
          <w:b/>
          <w:bCs/>
          <w:sz w:val="28"/>
          <w:szCs w:val="28"/>
          <w:lang w:val="lv-LV"/>
        </w:rPr>
      </w:pPr>
      <w:r>
        <w:rPr>
          <w:rFonts w:ascii="Times New Roman" w:hAnsi="Times New Roman"/>
          <w:sz w:val="24"/>
          <w:szCs w:val="24"/>
          <w:lang w:val="lv-LV"/>
        </w:rPr>
        <w:t>Rīgā</w:t>
      </w:r>
    </w:p>
    <w:p w:rsidR="001F56C2" w:rsidRDefault="001F56C2" w:rsidP="001F56C2">
      <w:pPr>
        <w:tabs>
          <w:tab w:val="left" w:pos="284"/>
          <w:tab w:val="center" w:pos="5102"/>
        </w:tabs>
        <w:suppressAutoHyphens/>
        <w:spacing w:after="0" w:line="240" w:lineRule="auto"/>
        <w:contextualSpacing/>
        <w:jc w:val="both"/>
        <w:rPr>
          <w:rFonts w:ascii="Times New Roman" w:hAnsi="Times New Roman"/>
          <w:sz w:val="24"/>
          <w:szCs w:val="24"/>
          <w:u w:val="single"/>
          <w:lang w:val="lv-LV"/>
        </w:rPr>
      </w:pPr>
      <w:r>
        <w:rPr>
          <w:rFonts w:ascii="Times New Roman" w:hAnsi="Times New Roman"/>
          <w:i/>
          <w:sz w:val="24"/>
          <w:szCs w:val="24"/>
          <w:lang w:val="lv-LV"/>
        </w:rPr>
        <w:t>Datums norādīts dokumenta paraksta laika zīmogā</w:t>
      </w:r>
      <w:r>
        <w:rPr>
          <w:rFonts w:ascii="Times New Roman" w:hAnsi="Times New Roman"/>
          <w:sz w:val="24"/>
          <w:szCs w:val="24"/>
          <w:lang w:val="lv-LV"/>
        </w:rPr>
        <w:tab/>
      </w:r>
    </w:p>
    <w:p w:rsidR="001F56C2" w:rsidRDefault="001F56C2" w:rsidP="001F56C2">
      <w:pPr>
        <w:tabs>
          <w:tab w:val="left" w:pos="284"/>
          <w:tab w:val="center" w:pos="5102"/>
        </w:tabs>
        <w:suppressAutoHyphens/>
        <w:spacing w:after="0" w:line="240" w:lineRule="auto"/>
        <w:contextualSpacing/>
        <w:jc w:val="both"/>
        <w:rPr>
          <w:rFonts w:ascii="Times New Roman" w:hAnsi="Times New Roman"/>
          <w:sz w:val="24"/>
          <w:szCs w:val="24"/>
          <w:u w:val="single"/>
          <w:lang w:val="lv-LV"/>
        </w:rPr>
      </w:pPr>
    </w:p>
    <w:p w:rsidR="001F56C2" w:rsidRDefault="001F56C2" w:rsidP="001F56C2">
      <w:pPr>
        <w:tabs>
          <w:tab w:val="left" w:pos="284"/>
          <w:tab w:val="center" w:pos="5102"/>
        </w:tabs>
        <w:suppressAutoHyphens/>
        <w:spacing w:after="0" w:line="240" w:lineRule="auto"/>
        <w:contextualSpacing/>
        <w:jc w:val="both"/>
        <w:rPr>
          <w:rFonts w:ascii="Times New Roman" w:hAnsi="Times New Roman"/>
          <w:sz w:val="24"/>
          <w:szCs w:val="24"/>
          <w:u w:val="single"/>
          <w:lang w:val="lv-LV"/>
        </w:rPr>
      </w:pPr>
    </w:p>
    <w:p w:rsidR="001F56C2" w:rsidRDefault="001F56C2" w:rsidP="001F56C2">
      <w:pPr>
        <w:tabs>
          <w:tab w:val="left" w:pos="284"/>
          <w:tab w:val="center" w:pos="5102"/>
        </w:tabs>
        <w:suppressAutoHyphens/>
        <w:spacing w:after="0" w:line="240" w:lineRule="auto"/>
        <w:ind w:firstLine="567"/>
        <w:contextualSpacing/>
        <w:jc w:val="both"/>
        <w:rPr>
          <w:rFonts w:ascii="Times New Roman" w:hAnsi="Times New Roman"/>
          <w:sz w:val="24"/>
          <w:szCs w:val="24"/>
          <w:u w:val="single"/>
          <w:lang w:val="lv-LV"/>
        </w:rPr>
      </w:pPr>
      <w:r>
        <w:rPr>
          <w:rFonts w:ascii="Times New Roman" w:hAnsi="Times New Roman"/>
          <w:b/>
          <w:bCs/>
          <w:sz w:val="24"/>
          <w:szCs w:val="24"/>
          <w:lang w:val="lv-LV"/>
        </w:rPr>
        <w:t>Latvijas Universitāte</w:t>
      </w:r>
      <w:r>
        <w:rPr>
          <w:rFonts w:ascii="Times New Roman" w:hAnsi="Times New Roman"/>
          <w:sz w:val="24"/>
          <w:szCs w:val="24"/>
          <w:lang w:val="lv-LV"/>
        </w:rPr>
        <w:t xml:space="preserve">, reģistrācijas Nr. 90000076669, </w:t>
      </w:r>
      <w:r>
        <w:rPr>
          <w:rFonts w:ascii="Times New Roman" w:hAnsi="Times New Roman"/>
          <w:color w:val="1B1B1B"/>
          <w:sz w:val="24"/>
          <w:szCs w:val="24"/>
          <w:shd w:val="clear" w:color="auto" w:fill="FFFFFF"/>
          <w:lang w:val="lv-LV"/>
        </w:rPr>
        <w:t xml:space="preserve">IZM Izglītības iestāžu reģistra </w:t>
      </w:r>
      <w:r>
        <w:rPr>
          <w:rFonts w:ascii="Times New Roman" w:hAnsi="Times New Roman"/>
          <w:sz w:val="24"/>
          <w:szCs w:val="24"/>
          <w:lang w:val="lv-LV"/>
        </w:rPr>
        <w:t>reģistrācijas Nr. 3391000218, juridiskā adrese: Raiņa bulvāris 19, Rīga, LV</w:t>
      </w:r>
      <w:r>
        <w:rPr>
          <w:rFonts w:ascii="Times New Roman" w:hAnsi="Times New Roman"/>
          <w:sz w:val="24"/>
          <w:szCs w:val="24"/>
          <w:lang w:val="lv-LV"/>
        </w:rPr>
        <w:noBreakHyphen/>
        <w:t xml:space="preserve">1586 (turpmāk – Informācijas sniedzējs), tās rektora Indriķa Muižnieka personā, kurš rīkojas saskaņā ar Latvijas Universitātes Satversmi, no vienas puses, un </w:t>
      </w:r>
    </w:p>
    <w:p w:rsidR="001F56C2" w:rsidRDefault="001F56C2" w:rsidP="001F56C2">
      <w:pPr>
        <w:spacing w:after="0" w:line="240" w:lineRule="auto"/>
        <w:ind w:right="43" w:firstLine="567"/>
        <w:jc w:val="both"/>
        <w:rPr>
          <w:rFonts w:ascii="Times New Roman" w:hAnsi="Times New Roman"/>
          <w:sz w:val="24"/>
          <w:szCs w:val="24"/>
          <w:lang w:val="lv-LV"/>
        </w:rPr>
      </w:pPr>
      <w:r>
        <w:rPr>
          <w:rFonts w:ascii="Times New Roman" w:hAnsi="Times New Roman"/>
          <w:b/>
          <w:sz w:val="24"/>
          <w:szCs w:val="24"/>
          <w:lang w:val="lv-LV"/>
        </w:rPr>
        <w:t>Fiziskas vai juridiskas personas rekvizīti</w:t>
      </w:r>
      <w:r>
        <w:rPr>
          <w:rFonts w:ascii="Times New Roman" w:hAnsi="Times New Roman"/>
          <w:sz w:val="24"/>
          <w:szCs w:val="24"/>
          <w:lang w:val="lv-LV"/>
        </w:rPr>
        <w:t xml:space="preserve">, personas kods/reģistrācijas numurs ______, deklarētās dzīvesvietas vai juridiskā adrese: __________, tās ____________ personā, kurš/-a rīkojas uz __________ pamata (turpmāk – Informācijas saņēmējs), no otras puses, turpmāk kopā vai atsevišķi – Puse/Puses, noslēdz šādu līgumu (turpmāk – Līgums):      </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bCs/>
          <w:sz w:val="24"/>
          <w:szCs w:val="24"/>
          <w:lang w:val="lv-LV"/>
        </w:rPr>
        <w:t xml:space="preserve">1. </w:t>
      </w:r>
      <w:r>
        <w:rPr>
          <w:rFonts w:ascii="Times New Roman" w:hAnsi="Times New Roman"/>
          <w:sz w:val="24"/>
          <w:szCs w:val="24"/>
          <w:lang w:val="lv-LV"/>
        </w:rPr>
        <w:t>Līgums noslēgts Informācijas sniedzēja īstenotās intelektuālā īpašuma izsoles “</w:t>
      </w:r>
      <w:r>
        <w:rPr>
          <w:rFonts w:ascii="Times New Roman" w:hAnsi="Times New Roman"/>
          <w:i/>
          <w:sz w:val="24"/>
          <w:szCs w:val="24"/>
          <w:lang w:val="lv-LV"/>
        </w:rPr>
        <w:t>Nosaukums</w:t>
      </w:r>
      <w:r>
        <w:rPr>
          <w:rFonts w:ascii="Times New Roman" w:hAnsi="Times New Roman"/>
          <w:sz w:val="24"/>
          <w:szCs w:val="24"/>
          <w:lang w:val="lv-LV"/>
        </w:rPr>
        <w:t>” (turpmāk – Izsole) ietvaros.</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 xml:space="preserve">2. Līguma izpratnē konfidenciāla informācija ir jebkura un jebkāda Informācijas sniedzējam piederoša vai tā lietošanā vai rīcībā esoša informācija saistībā ar zinātību Nr.1 “Jaunas metodes, skripti un shēmas mākonī balstītas ādas vēža diagnostikas sistēmai” un zinātību Nr.2 “Mākslīgā neironu tīkla (MNT) modelis un pārnēsājamas </w:t>
      </w:r>
      <w:proofErr w:type="spellStart"/>
      <w:r>
        <w:rPr>
          <w:rFonts w:ascii="Times New Roman" w:hAnsi="Times New Roman"/>
          <w:sz w:val="24"/>
          <w:szCs w:val="24"/>
          <w:lang w:val="lv-LV"/>
        </w:rPr>
        <w:t>multispektrālas</w:t>
      </w:r>
      <w:proofErr w:type="spellEnd"/>
      <w:r>
        <w:rPr>
          <w:rFonts w:ascii="Times New Roman" w:hAnsi="Times New Roman"/>
          <w:sz w:val="24"/>
          <w:szCs w:val="24"/>
          <w:lang w:val="lv-LV"/>
        </w:rPr>
        <w:t xml:space="preserve"> ierīces dizains ar iegultu MNT moduli”, kas nonāk Informācijas saņēmēja rīcībā saistībā ar Izsoli, t.sk. izstrādes apraksts, tehniskā dokumentācija, shēmas, rasējumi, programmas kodi, </w:t>
      </w:r>
      <w:r>
        <w:rPr>
          <w:rFonts w:ascii="Times New Roman" w:hAnsi="Times New Roman"/>
          <w:color w:val="000000"/>
          <w:sz w:val="24"/>
          <w:szCs w:val="24"/>
          <w:lang w:val="lv-LV"/>
        </w:rPr>
        <w:t>trenēts mākslīgā neironu tīkla modelis, ādas patoloģiju spektrālo attēlu datubāze un</w:t>
      </w:r>
      <w:r>
        <w:rPr>
          <w:rFonts w:ascii="Times New Roman" w:hAnsi="Times New Roman"/>
          <w:sz w:val="24"/>
          <w:szCs w:val="24"/>
          <w:lang w:val="lv-LV"/>
        </w:rPr>
        <w:t xml:space="preserve"> pamatojošā dokumentācija. </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3. Šaubu gadījumā par konkrētu informācijas elementu, daļu vai fragmentu atbilstību Konfidenciālas informācijas vai vispārpieejamas informācijas statusam Informācijas saņēmējs interpretē konkrēto informāciju kā konfidenciālu informāciju un nepieciešamības gadījumā precizē tās statusu pie Informācijas sniedzēja.</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 xml:space="preserve">4. Konfidenciāla informācija var tikt sniegta Informācijas saņēmējam </w:t>
      </w:r>
      <w:proofErr w:type="spellStart"/>
      <w:r>
        <w:rPr>
          <w:rFonts w:ascii="Times New Roman" w:hAnsi="Times New Roman"/>
          <w:sz w:val="24"/>
          <w:szCs w:val="24"/>
          <w:lang w:val="lv-LV"/>
        </w:rPr>
        <w:t>rakstveidā</w:t>
      </w:r>
      <w:proofErr w:type="spellEnd"/>
      <w:r>
        <w:rPr>
          <w:rFonts w:ascii="Times New Roman" w:hAnsi="Times New Roman"/>
          <w:sz w:val="24"/>
          <w:szCs w:val="24"/>
          <w:lang w:val="lv-LV"/>
        </w:rPr>
        <w:t xml:space="preserve"> vai elektroniski, pausta mutiski, kā arī citos veidos. </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5. Informācijas saņēmējs nodrošina un atbild, ka:</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 xml:space="preserve">5.1. konfidenciālā informācija nonāk tikai pie tām ar Informācijas saņēmēju tieši saistītām fiziskajām personām (darbinieki u.tml.) vai juridiskām personām, kuras ir saistītas ar Informācijas saņēmēja dalības Izsolē </w:t>
      </w:r>
      <w:proofErr w:type="spellStart"/>
      <w:r>
        <w:rPr>
          <w:rFonts w:ascii="Times New Roman" w:hAnsi="Times New Roman"/>
          <w:sz w:val="24"/>
          <w:szCs w:val="24"/>
          <w:lang w:val="lv-LV"/>
        </w:rPr>
        <w:t>izvērtējumu</w:t>
      </w:r>
      <w:proofErr w:type="spellEnd"/>
      <w:r>
        <w:rPr>
          <w:rFonts w:ascii="Times New Roman" w:hAnsi="Times New Roman"/>
          <w:sz w:val="24"/>
          <w:szCs w:val="24"/>
          <w:lang w:val="lv-LV"/>
        </w:rPr>
        <w:t xml:space="preserve"> un iespējamo piedāvājuma sagatavošanu, un tikai šiem mērķiem nepieciešamajā apjomā;</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5.2. subjekti, kuriem ir tiesības uz konfidenciālo informāciju atbilstoši Līguma 5.1. apakšpunktam, nenodod konfidenciālo informāciju, t.sk. tās daļas, elementus vai fragmentus, citām fiziskām vai juridiskām personām vai citiem subjektiem.</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6. Līguma 5. punktā noteiktie rīcības ierobežojumi var tikt paplašināti, Pusēm rīcību iepriekš saskaņojot, ja konfidenciālo informāciju pieprasa kompetentās valsts institūcijas, rīkojoties ārējo normatīvo aktu tām noteikto likumīgo funkciju ietvaros.</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7. Informācijas saņēmējs atzīst un saprot, ka konfidenciāla informācija ir pētnieciski, komerciāli un juridiski svarīgs Informācijas sniedzējam piederošs vai tā rīcībā vai lietošanā esošs īpašums, par kuras izpaušanu Informācijas saņēmējam var iestāties kaitējuma, zaudējumu novēršanas risks.</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lastRenderedPageBreak/>
        <w:t xml:space="preserve">8. Informācijas sniedzējs pilnībā saglabā visas savas tiesības uz konfidenciālo informāciju, t.sk. īpašumtiesības, autortiesības un jebkuras citas līdzvērtīgas tiesības, tādējādi Informācijas saņēmējs neiegūst nekādas Līgumā neminētas tiesības uz konfidenciālo informāciju. </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9. Informācijas saņēmējs apņemas glabāt un aizsargāt konfidenciālu informāciju un ievērot saprātīgus informācijas uzglabāšanas priekšnoteikumus.</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10. Jebkurus publiskus paziņojumus par Līgumu, tā noslēgšanas faktu un saturu, kā arī to, ko ietver sevī konfidenciāla informācija, Puses sniedz vienīgi pēc iepriekšējas rakstiskas saskaņošanas ar otru Pusi.</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11. Informācijas saņēmējs piekrīt atlīdzināt Informācijas sniedzējam visus zaudējumus, izdevumus, izmaksas, kas tam radušās, Informācijas saņēmējam neievērojot Līguma noteikumus.</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12. Izsolei beidzoties, Informācijas saņēmējs 10</w:t>
      </w:r>
      <w:r>
        <w:rPr>
          <w:rFonts w:ascii="Times New Roman" w:hAnsi="Times New Roman"/>
          <w:i/>
          <w:sz w:val="24"/>
          <w:szCs w:val="24"/>
          <w:lang w:val="lv-LV"/>
        </w:rPr>
        <w:t xml:space="preserve"> </w:t>
      </w:r>
      <w:r>
        <w:rPr>
          <w:rFonts w:ascii="Times New Roman" w:hAnsi="Times New Roman"/>
          <w:sz w:val="24"/>
          <w:szCs w:val="24"/>
          <w:lang w:val="lv-LV"/>
        </w:rPr>
        <w:t>(</w:t>
      </w:r>
      <w:r>
        <w:rPr>
          <w:rFonts w:ascii="Times New Roman" w:hAnsi="Times New Roman"/>
          <w:iCs/>
          <w:sz w:val="24"/>
          <w:szCs w:val="24"/>
          <w:lang w:val="lv-LV"/>
        </w:rPr>
        <w:t>desmit</w:t>
      </w:r>
      <w:r>
        <w:rPr>
          <w:rFonts w:ascii="Times New Roman" w:hAnsi="Times New Roman"/>
          <w:sz w:val="24"/>
          <w:szCs w:val="24"/>
          <w:lang w:val="lv-LV"/>
        </w:rPr>
        <w:t>) dienu laikā visu saņemto konfidenciālo informāciju iznīcina, izdzēšot elektroniskā vai drukātā veidā glabātos informācijas dublikātus vai kopijas un citus informācijas nesējus. Minētais neattiecas uz Izsoles uzvarētāju, ja tas noslēdz intelektuālā īpašuma nodošanas vai licences līgumu. Izsoles uzvarētājam rīcības ar konfidenciālo informāciju aspekti regulējami saskaņā ar noslēgto intelektuālā īpašuma nodošanas vai licences līgumu.</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 xml:space="preserve">13. Puses apliecina, ka tām ir visas nepieciešamās tiesības, saskaņojumi un atļaujas noslēgt Līgumu un uzņemties tajā noteiktās saistības. </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14. Informācijas saņēmējs apzinās, ka papildus Līgumā paredzētajai materiālajai atbildībai par konfidenciālas informācijas neatļautu izpaušanu vai cita veida neatļautu nodošanu trešajām pusēm paredzēta arī atbildība saskaņā ar Komercnoslēpuma aizsardzības likumu un citiem Latvijas Republikas normatīvajiem aktiem.</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15. Jebkurš strīds, nesaskaņas vai prasības, kas izriet no Līguma, skar Līguma pārkāpšanu, izbeigšanu, likumību, spēkā esamību vai iztulkošanu, tiks izšķirts Latvijas Republikas tiesā saskaņā ar Latvijas Republikas normatīvajiem aktiem.</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16. Līgums sagatavots latviešu valodā uz 2 (divām) lapām. Puses Līgumu paraksta ar drošu elektronisko parakstu, kas satur laika zīmogu. Līguma parakstīšanas datums ir pēdējā pievienotā droša elektroniskā paraksta un tā laika zīmoga datums. Katrai no Pusēm ir pieejams abpusēji parakstīts Līgums elektroniskā formātā.</w:t>
      </w:r>
    </w:p>
    <w:p w:rsidR="001F56C2" w:rsidRDefault="001F56C2" w:rsidP="001F56C2">
      <w:pPr>
        <w:tabs>
          <w:tab w:val="left" w:pos="567"/>
        </w:tabs>
        <w:spacing w:after="0" w:line="240" w:lineRule="auto"/>
        <w:ind w:right="100" w:firstLine="567"/>
        <w:jc w:val="both"/>
        <w:rPr>
          <w:rFonts w:ascii="Times New Roman" w:hAnsi="Times New Roman"/>
          <w:sz w:val="24"/>
          <w:szCs w:val="24"/>
          <w:lang w:val="lv-LV"/>
        </w:rPr>
      </w:pPr>
      <w:r>
        <w:rPr>
          <w:rFonts w:ascii="Times New Roman" w:hAnsi="Times New Roman"/>
          <w:sz w:val="24"/>
          <w:szCs w:val="24"/>
          <w:lang w:val="lv-LV"/>
        </w:rPr>
        <w:t>17. Līdzēju adreses un norēķinu konti:</w:t>
      </w:r>
    </w:p>
    <w:p w:rsidR="001F56C2" w:rsidRDefault="001F56C2" w:rsidP="001F56C2">
      <w:pPr>
        <w:pStyle w:val="Sarakstarindkopa"/>
        <w:tabs>
          <w:tab w:val="left" w:pos="0"/>
        </w:tabs>
        <w:spacing w:after="0" w:line="240" w:lineRule="auto"/>
        <w:ind w:left="0" w:right="100"/>
        <w:jc w:val="center"/>
        <w:rPr>
          <w:rFonts w:ascii="Times New Roman" w:hAnsi="Times New Roman"/>
          <w:b/>
          <w:bCs/>
          <w:sz w:val="24"/>
          <w:szCs w:val="24"/>
          <w:lang w:val="lv-LV"/>
        </w:rPr>
      </w:pPr>
    </w:p>
    <w:tbl>
      <w:tblPr>
        <w:tblStyle w:val="Reatabula"/>
        <w:tblW w:w="9344" w:type="dxa"/>
        <w:tblLook w:val="04A0" w:firstRow="1" w:lastRow="0" w:firstColumn="1" w:lastColumn="0" w:noHBand="0" w:noVBand="1"/>
      </w:tblPr>
      <w:tblGrid>
        <w:gridCol w:w="4672"/>
        <w:gridCol w:w="4672"/>
      </w:tblGrid>
      <w:tr w:rsidR="001F56C2" w:rsidRPr="00856B45"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Latvijas Universitāte</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Fiziskas personas vārds/uzvārds vai juridiskas personas nosaukums</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Reģistrācijas Nr. 90000076669</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Personas kods/Reģistrācijas Nr.</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color w:val="1B1B1B"/>
                <w:sz w:val="24"/>
                <w:szCs w:val="24"/>
                <w:shd w:val="clear" w:color="auto" w:fill="FFFFFF"/>
                <w:lang w:val="lv-LV"/>
              </w:rPr>
              <w:t xml:space="preserve">IZM Izglītības iestāžu reģistra </w:t>
            </w:r>
            <w:r>
              <w:rPr>
                <w:rFonts w:ascii="Times New Roman" w:hAnsi="Times New Roman"/>
                <w:sz w:val="24"/>
                <w:szCs w:val="24"/>
                <w:lang w:val="lv-LV"/>
              </w:rPr>
              <w:t>reģistrācijas Nr. 3391000218</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Nodokļa maksātāja reģistrācijas Nr.</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Adrese: Raiņa bulvāris 19, Rīga, LV-1586</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 xml:space="preserve">Deklarētas dzīvesvietas/Juridiskā adrese: </w:t>
            </w:r>
          </w:p>
        </w:tc>
      </w:tr>
      <w:tr w:rsidR="001F56C2" w:rsidTr="00960CAE">
        <w:tc>
          <w:tcPr>
            <w:tcW w:w="4672" w:type="dxa"/>
            <w:tcBorders>
              <w:top w:val="nil"/>
              <w:left w:val="nil"/>
              <w:bottom w:val="nil"/>
              <w:right w:val="nil"/>
            </w:tcBorders>
          </w:tcPr>
          <w:p w:rsidR="001F56C2" w:rsidRDefault="001F56C2" w:rsidP="00960CAE">
            <w:pPr>
              <w:rPr>
                <w:rFonts w:ascii="Times New Roman" w:hAnsi="Times New Roman"/>
                <w:sz w:val="24"/>
                <w:szCs w:val="24"/>
                <w:lang w:val="lv-LV"/>
              </w:rPr>
            </w:pPr>
            <w:r>
              <w:rPr>
                <w:rFonts w:ascii="Times New Roman" w:hAnsi="Times New Roman"/>
                <w:sz w:val="24"/>
                <w:szCs w:val="24"/>
                <w:lang w:val="lv-LV"/>
              </w:rPr>
              <w:t xml:space="preserve">Bankas nosaukums: Valsts kase </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Bankas nosaukums:</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IBAN konts: LV33TREL9150101000000</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IBAN konts:</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sz w:val="24"/>
                <w:szCs w:val="24"/>
                <w:lang w:val="lv-LV"/>
              </w:rPr>
            </w:pPr>
            <w:r>
              <w:rPr>
                <w:rFonts w:ascii="Times New Roman" w:hAnsi="Times New Roman"/>
                <w:sz w:val="24"/>
                <w:szCs w:val="24"/>
                <w:lang w:val="lv-LV"/>
              </w:rPr>
              <w:t>SWIFT kods: TRELLV22</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sz w:val="24"/>
                <w:szCs w:val="24"/>
                <w:lang w:val="lv-LV"/>
              </w:rPr>
              <w:t>SWIFT kods:</w:t>
            </w:r>
          </w:p>
        </w:tc>
      </w:tr>
      <w:tr w:rsidR="001F56C2" w:rsidTr="00960CAE">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p>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__________________________</w:t>
            </w:r>
          </w:p>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Indriķis Muižnieks</w:t>
            </w:r>
          </w:p>
        </w:tc>
        <w:tc>
          <w:tcPr>
            <w:tcW w:w="4672" w:type="dxa"/>
            <w:tcBorders>
              <w:top w:val="nil"/>
              <w:left w:val="nil"/>
              <w:bottom w:val="nil"/>
              <w:right w:val="nil"/>
            </w:tcBorders>
          </w:tcPr>
          <w:p w:rsidR="001F56C2" w:rsidRDefault="001F56C2" w:rsidP="00960CAE">
            <w:pPr>
              <w:pStyle w:val="Sarakstarindkopa"/>
              <w:tabs>
                <w:tab w:val="left" w:pos="0"/>
              </w:tabs>
              <w:ind w:left="0" w:right="100"/>
              <w:rPr>
                <w:rFonts w:ascii="Times New Roman" w:hAnsi="Times New Roman"/>
                <w:b/>
                <w:bCs/>
                <w:sz w:val="24"/>
                <w:szCs w:val="24"/>
                <w:lang w:val="lv-LV"/>
              </w:rPr>
            </w:pPr>
          </w:p>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__________________________</w:t>
            </w:r>
          </w:p>
          <w:p w:rsidR="001F56C2" w:rsidRDefault="001F56C2" w:rsidP="00960CAE">
            <w:pPr>
              <w:pStyle w:val="Sarakstarindkopa"/>
              <w:tabs>
                <w:tab w:val="left" w:pos="0"/>
              </w:tabs>
              <w:ind w:left="0" w:right="100"/>
              <w:rPr>
                <w:rFonts w:ascii="Times New Roman" w:hAnsi="Times New Roman"/>
                <w:b/>
                <w:bCs/>
                <w:sz w:val="24"/>
                <w:szCs w:val="24"/>
                <w:lang w:val="lv-LV"/>
              </w:rPr>
            </w:pPr>
            <w:r>
              <w:rPr>
                <w:rFonts w:ascii="Times New Roman" w:hAnsi="Times New Roman"/>
                <w:b/>
                <w:bCs/>
                <w:sz w:val="24"/>
                <w:szCs w:val="24"/>
                <w:lang w:val="lv-LV"/>
              </w:rPr>
              <w:t>(vārds/uzvārds)</w:t>
            </w:r>
          </w:p>
        </w:tc>
      </w:tr>
    </w:tbl>
    <w:p w:rsidR="00071B5F" w:rsidRDefault="00071B5F"/>
    <w:sectPr w:rsidR="0007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C2"/>
    <w:rsid w:val="00071B5F"/>
    <w:rsid w:val="001F5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F07D2-BFB8-47C1-B9E5-BC563FF9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56C2"/>
    <w:rPr>
      <w:rFonts w:ascii="Calibri" w:eastAsia="Calibri" w:hAnsi="Calibri" w:cs="Times New Roman"/>
      <w:lang w:val="ru-RU"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1F56C2"/>
    <w:pPr>
      <w:ind w:left="720"/>
      <w:contextualSpacing/>
    </w:pPr>
  </w:style>
  <w:style w:type="table" w:styleId="Reatabula">
    <w:name w:val="Table Grid"/>
    <w:basedOn w:val="Parastatabula"/>
    <w:uiPriority w:val="59"/>
    <w:rsid w:val="001F56C2"/>
    <w:pPr>
      <w:spacing w:after="0" w:line="240" w:lineRule="auto"/>
    </w:pPr>
    <w:rPr>
      <w:rFonts w:ascii="Calibri" w:eastAsia="Calibri" w:hAnsi="Calibri" w:cs="Times New Roman"/>
      <w:lang w:val="ru-R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3864</Words>
  <Characters>2203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1</cp:revision>
  <dcterms:created xsi:type="dcterms:W3CDTF">2022-08-11T07:25:00Z</dcterms:created>
  <dcterms:modified xsi:type="dcterms:W3CDTF">2022-08-11T07:25:00Z</dcterms:modified>
</cp:coreProperties>
</file>