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DCF" w:rsidRPr="008B06E5" w:rsidRDefault="00F16DCF" w:rsidP="00F16DCF">
      <w:pPr>
        <w:spacing w:after="0" w:line="276" w:lineRule="auto"/>
        <w:jc w:val="right"/>
        <w:rPr>
          <w:rFonts w:ascii="Times New Roman" w:hAnsi="Times New Roman" w:cs="Times New Roman"/>
          <w:iCs/>
        </w:rPr>
      </w:pPr>
      <w:r w:rsidRPr="008B06E5">
        <w:rPr>
          <w:rFonts w:ascii="Times New Roman" w:hAnsi="Times New Roman" w:cs="Times New Roman"/>
          <w:iCs/>
        </w:rPr>
        <w:t>Pielikums Nr. 4</w:t>
      </w:r>
    </w:p>
    <w:p w:rsidR="00F16DCF" w:rsidRPr="008B06E5" w:rsidRDefault="00F16DCF" w:rsidP="00F16DCF">
      <w:pPr>
        <w:spacing w:after="0" w:line="276" w:lineRule="auto"/>
        <w:ind w:right="-1"/>
        <w:jc w:val="center"/>
        <w:rPr>
          <w:rFonts w:ascii="Times New Roman" w:hAnsi="Times New Roman" w:cs="Times New Roman"/>
          <w:b/>
          <w:sz w:val="28"/>
        </w:rPr>
      </w:pPr>
    </w:p>
    <w:p w:rsidR="00F16DCF" w:rsidRPr="008B06E5" w:rsidRDefault="00F16DCF" w:rsidP="00F16DCF">
      <w:pPr>
        <w:spacing w:after="0" w:line="276" w:lineRule="auto"/>
        <w:ind w:right="-1"/>
        <w:jc w:val="center"/>
        <w:rPr>
          <w:rFonts w:ascii="Times New Roman" w:hAnsi="Times New Roman" w:cs="Times New Roman"/>
          <w:b/>
          <w:sz w:val="24"/>
          <w:szCs w:val="24"/>
        </w:rPr>
      </w:pPr>
      <w:r w:rsidRPr="008B06E5">
        <w:rPr>
          <w:rFonts w:ascii="Times New Roman" w:hAnsi="Times New Roman" w:cs="Times New Roman"/>
          <w:b/>
          <w:sz w:val="24"/>
          <w:szCs w:val="24"/>
        </w:rPr>
        <w:t>KONFIDENCIALITĀTES LĪGUMS</w:t>
      </w:r>
    </w:p>
    <w:p w:rsidR="00F16DCF" w:rsidRPr="008B06E5" w:rsidRDefault="00F16DCF" w:rsidP="00F16DCF">
      <w:pPr>
        <w:spacing w:after="0" w:line="276" w:lineRule="auto"/>
        <w:ind w:firstLine="567"/>
        <w:rPr>
          <w:rFonts w:ascii="Times New Roman" w:hAnsi="Times New Roman" w:cs="Times New Roman"/>
          <w:b/>
          <w:bCs/>
          <w:sz w:val="24"/>
          <w:szCs w:val="24"/>
        </w:rPr>
      </w:pPr>
    </w:p>
    <w:p w:rsidR="00F16DCF" w:rsidRPr="008B06E5" w:rsidRDefault="00F16DCF" w:rsidP="00F16DCF">
      <w:pPr>
        <w:spacing w:after="0" w:line="276" w:lineRule="auto"/>
        <w:ind w:firstLine="567"/>
        <w:jc w:val="both"/>
        <w:rPr>
          <w:rFonts w:ascii="Times New Roman" w:hAnsi="Times New Roman" w:cs="Times New Roman"/>
          <w:sz w:val="24"/>
          <w:szCs w:val="24"/>
        </w:rPr>
      </w:pPr>
      <w:r w:rsidRPr="008B06E5">
        <w:rPr>
          <w:rFonts w:ascii="Times New Roman" w:hAnsi="Times New Roman" w:cs="Times New Roman"/>
          <w:b/>
          <w:bCs/>
          <w:sz w:val="24"/>
          <w:szCs w:val="24"/>
        </w:rPr>
        <w:t xml:space="preserve">Latvijas Universitāte </w:t>
      </w:r>
      <w:r w:rsidRPr="008B06E5">
        <w:rPr>
          <w:rFonts w:ascii="Times New Roman" w:hAnsi="Times New Roman" w:cs="Times New Roman"/>
          <w:bCs/>
          <w:sz w:val="24"/>
          <w:szCs w:val="24"/>
        </w:rPr>
        <w:t>(turpmāk – Informācijas sniedzējs),</w:t>
      </w:r>
      <w:r w:rsidRPr="008B06E5">
        <w:rPr>
          <w:rFonts w:ascii="Times New Roman" w:hAnsi="Times New Roman" w:cs="Times New Roman"/>
          <w:b/>
          <w:bCs/>
          <w:sz w:val="24"/>
          <w:szCs w:val="24"/>
        </w:rPr>
        <w:t xml:space="preserve"> </w:t>
      </w:r>
      <w:r w:rsidRPr="008B06E5">
        <w:rPr>
          <w:rFonts w:ascii="Times New Roman" w:hAnsi="Times New Roman" w:cs="Times New Roman"/>
          <w:bCs/>
          <w:sz w:val="24"/>
          <w:szCs w:val="24"/>
        </w:rPr>
        <w:t>Izglītības un zinātnes ministrijas Izglītības iestāžu reģistra Nr. 3341000218, juridiskā adrese Raiņa bulvāris 19, Rīga, LV</w:t>
      </w:r>
      <w:r w:rsidRPr="008B06E5">
        <w:rPr>
          <w:rFonts w:ascii="Times New Roman" w:hAnsi="Times New Roman" w:cs="Times New Roman"/>
          <w:bCs/>
          <w:sz w:val="24"/>
          <w:szCs w:val="24"/>
        </w:rPr>
        <w:noBreakHyphen/>
        <w:t>1586, tās rektora Indriķa Muižnieka personā, kurš rīkojas saskaņā ar Latvijas Universitātes Satversmi, no vienas puses,</w:t>
      </w:r>
    </w:p>
    <w:p w:rsidR="00F16DCF" w:rsidRPr="008B06E5" w:rsidRDefault="00F16DCF" w:rsidP="00F16DCF">
      <w:pPr>
        <w:spacing w:after="0" w:line="276" w:lineRule="auto"/>
        <w:ind w:firstLine="567"/>
        <w:jc w:val="both"/>
        <w:rPr>
          <w:rFonts w:ascii="Times New Roman" w:hAnsi="Times New Roman" w:cs="Times New Roman"/>
          <w:sz w:val="24"/>
          <w:szCs w:val="24"/>
        </w:rPr>
      </w:pPr>
      <w:r w:rsidRPr="008B06E5">
        <w:rPr>
          <w:rFonts w:ascii="Times New Roman" w:hAnsi="Times New Roman" w:cs="Times New Roman"/>
          <w:sz w:val="24"/>
          <w:szCs w:val="24"/>
        </w:rPr>
        <w:t xml:space="preserve">un </w:t>
      </w:r>
    </w:p>
    <w:p w:rsidR="00F16DCF" w:rsidRPr="008B06E5" w:rsidRDefault="00F16DCF" w:rsidP="00F16DCF">
      <w:pPr>
        <w:spacing w:after="0" w:line="276" w:lineRule="auto"/>
        <w:ind w:firstLine="567"/>
        <w:jc w:val="both"/>
        <w:rPr>
          <w:rFonts w:ascii="Times New Roman" w:hAnsi="Times New Roman" w:cs="Times New Roman"/>
          <w:sz w:val="24"/>
          <w:szCs w:val="24"/>
        </w:rPr>
      </w:pPr>
      <w:r w:rsidRPr="008B06E5">
        <w:rPr>
          <w:rFonts w:ascii="Times New Roman" w:hAnsi="Times New Roman" w:cs="Times New Roman"/>
          <w:i/>
          <w:sz w:val="24"/>
          <w:szCs w:val="24"/>
        </w:rPr>
        <w:t>Fiziskas vai juridiskas personas rekvizīti</w:t>
      </w:r>
      <w:r w:rsidRPr="008B06E5">
        <w:rPr>
          <w:rFonts w:ascii="Times New Roman" w:hAnsi="Times New Roman" w:cs="Times New Roman"/>
          <w:sz w:val="24"/>
          <w:szCs w:val="24"/>
        </w:rPr>
        <w:t xml:space="preserve"> (turpmāk – Informācijas saņēmējs), tās </w:t>
      </w:r>
      <w:r w:rsidRPr="008B06E5">
        <w:rPr>
          <w:rFonts w:ascii="Times New Roman" w:hAnsi="Times New Roman" w:cs="Times New Roman"/>
          <w:i/>
          <w:sz w:val="24"/>
          <w:szCs w:val="24"/>
        </w:rPr>
        <w:t>valdes locekļa/priekšsēdētāja vārds, uzvārds</w:t>
      </w:r>
      <w:r w:rsidRPr="008B06E5">
        <w:rPr>
          <w:rFonts w:ascii="Times New Roman" w:hAnsi="Times New Roman" w:cs="Times New Roman"/>
          <w:sz w:val="24"/>
          <w:szCs w:val="24"/>
        </w:rPr>
        <w:t xml:space="preserve"> personā (personas kods: ________), kas rīkojas uz statūtu pamata, no otras puses, turpmāk arī kopā saukti – Puses,  noslēdz šādu līgumu, turpmāk – Līgums: </w:t>
      </w:r>
    </w:p>
    <w:p w:rsidR="00F16DCF" w:rsidRPr="008B06E5" w:rsidRDefault="00F16DCF" w:rsidP="00F16DCF">
      <w:pPr>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Līgums noslēgts Informācijas sniedzēja īstenotās intelektuālā īpašuma izsoles </w:t>
      </w:r>
      <w:r w:rsidRPr="008B06E5">
        <w:rPr>
          <w:rFonts w:ascii="Times New Roman" w:hAnsi="Times New Roman" w:cs="Times New Roman"/>
          <w:i/>
          <w:sz w:val="24"/>
          <w:szCs w:val="24"/>
        </w:rPr>
        <w:t>“Nosaukums”</w:t>
      </w:r>
      <w:r w:rsidRPr="008B06E5">
        <w:rPr>
          <w:rFonts w:ascii="Times New Roman" w:hAnsi="Times New Roman" w:cs="Times New Roman"/>
          <w:sz w:val="24"/>
          <w:szCs w:val="24"/>
        </w:rPr>
        <w:t>, turpmāk – Izsole, ietvaros.</w:t>
      </w:r>
    </w:p>
    <w:p w:rsidR="00F16DCF" w:rsidRPr="008B06E5" w:rsidRDefault="00F16DCF" w:rsidP="00F16DCF">
      <w:pPr>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Līguma izpratnē konfidenciāla informācija ir jebkura un jebkāda Informācijas sniedzējam piederoša vai tā lietošanā vai rīcībā esoša informācija saistībā ar zinātību </w:t>
      </w:r>
      <w:r w:rsidRPr="008B06E5">
        <w:rPr>
          <w:rFonts w:ascii="Times New Roman" w:hAnsi="Times New Roman" w:cs="Times New Roman"/>
          <w:i/>
          <w:sz w:val="24"/>
          <w:szCs w:val="24"/>
        </w:rPr>
        <w:t>“PAŅĒMIENS UN IEKĀRTA  AUGSTA TITĀNA SATURA DZELZS SAKAUSĒJUMA IEGŪŠANAI AR KOMBINĒTU ELEKTROMAGNĒTISKO IEDARBĪBU ELEKTROSĀRŅU PĀRKAUSĒŠANAS PROCESĀ”</w:t>
      </w:r>
      <w:r w:rsidRPr="008B06E5">
        <w:rPr>
          <w:rFonts w:ascii="Times New Roman" w:hAnsi="Times New Roman" w:cs="Times New Roman"/>
          <w:sz w:val="24"/>
          <w:szCs w:val="24"/>
        </w:rPr>
        <w:t>, kas nonāk Informācijas saņēmēja rīcībā saistībā ar Izsoli, t.sk.:</w:t>
      </w:r>
    </w:p>
    <w:p w:rsidR="00F16DCF" w:rsidRPr="008B06E5" w:rsidRDefault="00F16DCF" w:rsidP="00F16DCF">
      <w:pPr>
        <w:pStyle w:val="ListParagraph"/>
        <w:numPr>
          <w:ilvl w:val="1"/>
          <w:numId w:val="2"/>
        </w:numPr>
        <w:shd w:val="clear" w:color="auto" w:fill="FFFFFF"/>
        <w:spacing w:after="0" w:line="276" w:lineRule="auto"/>
        <w:ind w:left="709"/>
        <w:jc w:val="both"/>
        <w:rPr>
          <w:rFonts w:ascii="Times New Roman" w:hAnsi="Times New Roman" w:cs="Times New Roman"/>
          <w:sz w:val="24"/>
          <w:szCs w:val="24"/>
        </w:rPr>
      </w:pPr>
      <w:bookmarkStart w:id="0" w:name="_Hlk73437609"/>
      <w:r w:rsidRPr="008B06E5">
        <w:rPr>
          <w:rFonts w:ascii="Times New Roman" w:hAnsi="Times New Roman" w:cs="Times New Roman"/>
          <w:sz w:val="24"/>
          <w:szCs w:val="24"/>
        </w:rPr>
        <w:t>Starptautiskais patenta pieteikums ar Nr. PCT/LV2021/050008  ar nosaukumu “PAŅĒMIENS UN IEKĀRTA  AUGSTA TITĀNA SATURA DZELZS SAKAUSĒJUMA IEGŪŠANAI AR KOMBINĒTU ELEKTROMAGNĒTISKO IEDARBĪBU ELEKTROSĀRŅU PĀRKAUSĒŠANAS PROCESĀ”;</w:t>
      </w:r>
    </w:p>
    <w:p w:rsidR="00F16DCF" w:rsidRPr="008B06E5" w:rsidRDefault="00F16DCF" w:rsidP="00F16DCF">
      <w:pPr>
        <w:pStyle w:val="ListParagraph"/>
        <w:numPr>
          <w:ilvl w:val="1"/>
          <w:numId w:val="2"/>
        </w:numPr>
        <w:shd w:val="clear" w:color="auto" w:fill="FFFFFF"/>
        <w:spacing w:after="0" w:line="276" w:lineRule="auto"/>
        <w:ind w:left="709"/>
        <w:jc w:val="both"/>
        <w:rPr>
          <w:rFonts w:ascii="Times New Roman" w:hAnsi="Times New Roman" w:cs="Times New Roman"/>
          <w:sz w:val="24"/>
          <w:szCs w:val="24"/>
        </w:rPr>
      </w:pPr>
      <w:r w:rsidRPr="008B06E5">
        <w:rPr>
          <w:rFonts w:ascii="Times New Roman" w:hAnsi="Times New Roman" w:cs="Times New Roman"/>
          <w:sz w:val="24"/>
          <w:szCs w:val="24"/>
        </w:rPr>
        <w:t>Latvijas patenta pieteikums Nr. LVP2021000049 " PAŅĒMIENS UN IEKĀRTA  AUGSTA TITĀNA SATURA DZELZS SAKAUSĒJUMA IEGŪŠANAI AR KOMBINĒTU ELEKTROMAGNĒTISKO IEDARBĪBU ELEKTROSĀRŅU PĀRKAUSĒŠANAS PROCESĀ";</w:t>
      </w:r>
    </w:p>
    <w:p w:rsidR="00F16DCF" w:rsidRPr="008B06E5" w:rsidRDefault="00F16DCF" w:rsidP="00F16DCF">
      <w:pPr>
        <w:pStyle w:val="ListParagraph"/>
        <w:numPr>
          <w:ilvl w:val="1"/>
          <w:numId w:val="2"/>
        </w:numPr>
        <w:shd w:val="clear" w:color="auto" w:fill="FFFFFF"/>
        <w:spacing w:after="0" w:line="276" w:lineRule="auto"/>
        <w:ind w:left="709"/>
        <w:jc w:val="both"/>
        <w:rPr>
          <w:rFonts w:ascii="Times New Roman" w:hAnsi="Times New Roman" w:cs="Times New Roman"/>
          <w:sz w:val="24"/>
          <w:szCs w:val="24"/>
        </w:rPr>
      </w:pPr>
      <w:r w:rsidRPr="008B06E5">
        <w:rPr>
          <w:rFonts w:ascii="Times New Roman" w:hAnsi="Times New Roman" w:cs="Times New Roman"/>
          <w:sz w:val="24"/>
          <w:szCs w:val="24"/>
        </w:rPr>
        <w:t xml:space="preserve">Izstrādes apraksts, tehniskā dokumentācija, testēšanas pārskati un </w:t>
      </w:r>
      <w:r w:rsidRPr="008B06E5">
        <w:rPr>
          <w:rFonts w:ascii="Times New Roman" w:hAnsi="Times New Roman" w:cs="Times New Roman"/>
          <w:i/>
          <w:sz w:val="24"/>
          <w:szCs w:val="24"/>
        </w:rPr>
        <w:t xml:space="preserve">tehnoloģijas “Paņēmiens un iekārta  augsta titāna satura dzelzs sakausējuma iegūšanai ar kombinētu elektromagnētisko iedarbību </w:t>
      </w:r>
      <w:proofErr w:type="spellStart"/>
      <w:r w:rsidRPr="008B06E5">
        <w:rPr>
          <w:rFonts w:ascii="Times New Roman" w:hAnsi="Times New Roman" w:cs="Times New Roman"/>
          <w:i/>
          <w:sz w:val="24"/>
          <w:szCs w:val="24"/>
        </w:rPr>
        <w:t>elektrosārņu</w:t>
      </w:r>
      <w:proofErr w:type="spellEnd"/>
      <w:r w:rsidRPr="008B06E5">
        <w:rPr>
          <w:rFonts w:ascii="Times New Roman" w:hAnsi="Times New Roman" w:cs="Times New Roman"/>
          <w:i/>
          <w:sz w:val="24"/>
          <w:szCs w:val="24"/>
        </w:rPr>
        <w:t xml:space="preserve"> pārkausēšanas procesā”</w:t>
      </w:r>
      <w:r w:rsidRPr="008B06E5">
        <w:rPr>
          <w:rFonts w:ascii="Times New Roman" w:hAnsi="Times New Roman" w:cs="Times New Roman"/>
          <w:sz w:val="24"/>
          <w:szCs w:val="24"/>
        </w:rPr>
        <w:t xml:space="preserve">  pamatojošā dokumentācija. </w:t>
      </w:r>
    </w:p>
    <w:bookmarkEnd w:id="0"/>
    <w:p w:rsidR="00F16DCF" w:rsidRPr="008B06E5" w:rsidRDefault="00F16DCF" w:rsidP="00F16DCF">
      <w:pPr>
        <w:numPr>
          <w:ilvl w:val="0"/>
          <w:numId w:val="2"/>
        </w:numPr>
        <w:tabs>
          <w:tab w:val="left" w:pos="993"/>
        </w:tabs>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Šaubu gadījumā par konkrētu informācijas elementu, daļu vai fragmentu atbilstību Konfidenciālas informācijas vai vispārpieejamas informācijas statusam Informācijas saņēmējs traktē konkrēto informāciju kā Konfidenciālu informāciju un nepieciešamības gadījumā precizē tās statusu pie Informācijas sniedzēja.</w:t>
      </w:r>
    </w:p>
    <w:p w:rsidR="00F16DCF" w:rsidRPr="008B06E5" w:rsidRDefault="00F16DCF" w:rsidP="00F16DCF">
      <w:pPr>
        <w:numPr>
          <w:ilvl w:val="0"/>
          <w:numId w:val="2"/>
        </w:numPr>
        <w:tabs>
          <w:tab w:val="left" w:pos="993"/>
        </w:tabs>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Konfidenciāla informācija var tikt sniegta Informācijas saņēmējam </w:t>
      </w:r>
      <w:proofErr w:type="spellStart"/>
      <w:r w:rsidRPr="008B06E5">
        <w:rPr>
          <w:rFonts w:ascii="Times New Roman" w:hAnsi="Times New Roman" w:cs="Times New Roman"/>
          <w:sz w:val="24"/>
          <w:szCs w:val="24"/>
        </w:rPr>
        <w:t>rakstveidā</w:t>
      </w:r>
      <w:proofErr w:type="spellEnd"/>
      <w:r w:rsidRPr="008B06E5">
        <w:rPr>
          <w:rFonts w:ascii="Times New Roman" w:hAnsi="Times New Roman" w:cs="Times New Roman"/>
          <w:sz w:val="24"/>
          <w:szCs w:val="24"/>
        </w:rPr>
        <w:t xml:space="preserve"> vai elektroniski, pausta mutiski, kā arī citos veidos. </w:t>
      </w:r>
    </w:p>
    <w:p w:rsidR="00F16DCF" w:rsidRPr="008B06E5" w:rsidRDefault="00F16DCF" w:rsidP="00F16DCF">
      <w:pPr>
        <w:numPr>
          <w:ilvl w:val="0"/>
          <w:numId w:val="2"/>
        </w:numPr>
        <w:tabs>
          <w:tab w:val="left" w:pos="993"/>
        </w:tabs>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Informācijas saņēmējs nodrošina un atbild, ka:</w:t>
      </w:r>
    </w:p>
    <w:p w:rsidR="00F16DCF" w:rsidRPr="008B06E5" w:rsidRDefault="00F16DCF" w:rsidP="00F16DCF">
      <w:pPr>
        <w:pStyle w:val="ListParagraph"/>
        <w:numPr>
          <w:ilvl w:val="1"/>
          <w:numId w:val="2"/>
        </w:numPr>
        <w:tabs>
          <w:tab w:val="left" w:pos="709"/>
        </w:tabs>
        <w:spacing w:after="0" w:line="276" w:lineRule="auto"/>
        <w:ind w:left="709"/>
        <w:jc w:val="both"/>
        <w:rPr>
          <w:rFonts w:ascii="Times New Roman" w:hAnsi="Times New Roman" w:cs="Times New Roman"/>
          <w:sz w:val="24"/>
          <w:szCs w:val="24"/>
        </w:rPr>
      </w:pPr>
      <w:r w:rsidRPr="008B06E5">
        <w:rPr>
          <w:rFonts w:ascii="Times New Roman" w:hAnsi="Times New Roman" w:cs="Times New Roman"/>
          <w:sz w:val="24"/>
          <w:szCs w:val="24"/>
        </w:rPr>
        <w:t xml:space="preserve">Konfidenciālā informācija nonāk tikai pie tām ar Informācijas saņēmēju tieši saistītām fiziskajām personām (darbinieki u.tml.) vai juridiskām personām, kuras ir saistītas ar Informācijas saņēmēja dalības Izsolē </w:t>
      </w:r>
      <w:proofErr w:type="spellStart"/>
      <w:r w:rsidRPr="008B06E5">
        <w:rPr>
          <w:rFonts w:ascii="Times New Roman" w:hAnsi="Times New Roman" w:cs="Times New Roman"/>
          <w:sz w:val="24"/>
          <w:szCs w:val="24"/>
        </w:rPr>
        <w:t>izvērtējumu</w:t>
      </w:r>
      <w:proofErr w:type="spellEnd"/>
      <w:r w:rsidRPr="008B06E5">
        <w:rPr>
          <w:rFonts w:ascii="Times New Roman" w:hAnsi="Times New Roman" w:cs="Times New Roman"/>
          <w:sz w:val="24"/>
          <w:szCs w:val="24"/>
        </w:rPr>
        <w:t xml:space="preserve"> un iespējamo piedāvājuma sagatavošanu, un tikai šiem mērķiem nepieciešamajā apjomā;</w:t>
      </w:r>
    </w:p>
    <w:p w:rsidR="00F16DCF" w:rsidRPr="008B06E5" w:rsidRDefault="00F16DCF" w:rsidP="00F16DCF">
      <w:pPr>
        <w:pStyle w:val="ListParagraph"/>
        <w:numPr>
          <w:ilvl w:val="1"/>
          <w:numId w:val="2"/>
        </w:numPr>
        <w:tabs>
          <w:tab w:val="left" w:pos="709"/>
        </w:tabs>
        <w:spacing w:after="0" w:line="276" w:lineRule="auto"/>
        <w:ind w:left="709"/>
        <w:jc w:val="both"/>
        <w:rPr>
          <w:rFonts w:ascii="Times New Roman" w:hAnsi="Times New Roman" w:cs="Times New Roman"/>
          <w:sz w:val="24"/>
          <w:szCs w:val="24"/>
        </w:rPr>
      </w:pPr>
      <w:r w:rsidRPr="008B06E5">
        <w:rPr>
          <w:rFonts w:ascii="Times New Roman" w:hAnsi="Times New Roman" w:cs="Times New Roman"/>
          <w:sz w:val="24"/>
          <w:szCs w:val="24"/>
        </w:rPr>
        <w:t>Subjekti, kam ir tiesības uz Konfidenciālo informāciju atbilstoši 5.1. punktam, nenodod Konfidenciālo informāciju, t.sk. tās daļas, fragmentus, citām fiziskām vai juridiskām personām, vai citiem subjektiem.</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Līguma 5. punktā noteiktie rīcības ierobežojumi var tikt paplašināti, Pusēm rīcību iepriekš saskaņojot, ja Konfidenciālo informāciju pieprasa kompetentās valsts institūcijas, rīkojoties ārējo normatīvo aktos tām noteikto likumīgo funkciju ietvaros.</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lastRenderedPageBreak/>
        <w:t xml:space="preserve">Informācijas saņēmējs atzīst un saprot, ka Konfidenciāla informācija ir pētnieciski, komerciāli un juridiski svarīgs Informācijas sniedzējam piederošs vai tā rīcībā vai lietošanā esošs īpašums, par kuras izpaušanu Informācijas saņēmējam var iestāties kaitējuma, zaudējumu novēršanas risks.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Informācijas sniedzējs pilnībā saglabā visas savas tiesības uz Konfidenciālo informāciju, t.sk. īpašumtiesības, autortiesības un jebkuras citas līdzvērtīgas tiesības, tādējādi Informācijas saņēmējs neiegūst nekādas Līgumā neminētas tiesības uz Konfidenciālo informāciju.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Informācijas saņēmējs apņemas glabāt un aizsargāt Konfidenciālu informāciju un ievērot saprātīgus informācijas uzglabāšanas priekšnoteikumus.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Jebkurus publiskus paziņojumus par Līgumu, tā noslēgšanas faktu un saturu, kā arī to, ko ietver sevī Konfidenciālu informāciju, Puses sniedz vienīgi pēc iepriekšējas rakstiskas saskaņošanas ar otru Pusi.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Informācijas saņēmējs piekrīt atlīdzināt Informācijas sniedzējam visus zaudējumus, izdevumus, izmaksas, kas tam radušās, Informācijas saņēmējam neievērojot Līguma noteikumus.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Izsolei beidzoties, Informācijas saņēmējs 10</w:t>
      </w:r>
      <w:r w:rsidRPr="008B06E5">
        <w:rPr>
          <w:rFonts w:ascii="Times New Roman" w:hAnsi="Times New Roman" w:cs="Times New Roman"/>
          <w:i/>
          <w:sz w:val="24"/>
          <w:szCs w:val="24"/>
        </w:rPr>
        <w:t xml:space="preserve"> </w:t>
      </w:r>
      <w:r w:rsidRPr="008B06E5">
        <w:rPr>
          <w:rFonts w:ascii="Times New Roman" w:hAnsi="Times New Roman" w:cs="Times New Roman"/>
          <w:sz w:val="24"/>
          <w:szCs w:val="24"/>
        </w:rPr>
        <w:t>(</w:t>
      </w:r>
      <w:r w:rsidRPr="008B06E5">
        <w:rPr>
          <w:rFonts w:ascii="Times New Roman" w:hAnsi="Times New Roman" w:cs="Times New Roman"/>
          <w:iCs/>
          <w:sz w:val="24"/>
          <w:szCs w:val="24"/>
        </w:rPr>
        <w:t>desmit</w:t>
      </w:r>
      <w:r w:rsidRPr="008B06E5">
        <w:rPr>
          <w:rFonts w:ascii="Times New Roman" w:hAnsi="Times New Roman" w:cs="Times New Roman"/>
          <w:sz w:val="24"/>
          <w:szCs w:val="24"/>
        </w:rPr>
        <w:t xml:space="preserve">) dienu laikā visu saņemto Konfidenciālo informāciju iznīcina, izdzēšot elektroniskā vai drukātā veidā glabātos informācijas dublikātus vai kopijas, un citus informācijas nesējus. Minētais neattiecas uz Izsoles uzvarētāju, ja tas noslēdz licences līgumu. Izsoles uzvarētājam rīcības ar  Konfidenciālo informāciju aspekti regulējami saskaņā ar noslēgto licences līgumu.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Puses apliecina, ka tām ir visas nepieciešamās tiesības, saskaņojumi un atļaujas noslēgt Līgumu un uzņemties tajā noteiktās saistības.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Informācijas saņēmējs apzinās, ka papildus Līgumā paredzētajai materiālajai atbildībai par Konfidenciālas informācijas neatļautu izpaušanu vai cita veida neatļautu nodošanu trešajām pusēm paredzēta arī atbildība saskaņā ar Komercnoslēpuma aizsardzības likumu un citiem Latvijas Republikas normatīvajiem aktiem.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 xml:space="preserve">Jebkurš strīds, nesaskaņas vai prasības, kas izriet no Līguma, skar Līguma pārkāpšanu, izbeigšanu, likumību, spēkā esamību vai iztulkošanu, tiks izšķirts Latvijas Republikas tiesā saskaņā ar Latvijas Republikas normatīvajiem aktiem. </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Līgums sagatavots latviešu valodā uz 2 (divām) lapām. Puses Līgumu paraksta ar drošu elektronisko parakstu, kurš satur laika zīmogu. Līguma parakstīšanas datums ir pēdējā pievienotā droša elektroniskā paraksta un tā laika zīmoga datums. Katrai no Pusēm ir pieejams abpusēji parakstīts Līgums elektroniskā formātā.</w:t>
      </w:r>
    </w:p>
    <w:p w:rsidR="00F16DCF" w:rsidRPr="008B06E5" w:rsidRDefault="00F16DCF" w:rsidP="00F16DCF">
      <w:pPr>
        <w:pStyle w:val="ListParagraph"/>
        <w:numPr>
          <w:ilvl w:val="0"/>
          <w:numId w:val="2"/>
        </w:numPr>
        <w:spacing w:after="0" w:line="276" w:lineRule="auto"/>
        <w:jc w:val="both"/>
        <w:rPr>
          <w:rFonts w:ascii="Times New Roman" w:hAnsi="Times New Roman" w:cs="Times New Roman"/>
          <w:sz w:val="24"/>
          <w:szCs w:val="24"/>
        </w:rPr>
      </w:pPr>
      <w:r w:rsidRPr="008B06E5">
        <w:rPr>
          <w:rFonts w:ascii="Times New Roman" w:hAnsi="Times New Roman" w:cs="Times New Roman"/>
          <w:sz w:val="24"/>
          <w:szCs w:val="24"/>
        </w:rPr>
        <w:t>Līdzēju adreses un norēķinu konti:</w:t>
      </w:r>
    </w:p>
    <w:p w:rsidR="00F16DCF" w:rsidRPr="008B06E5" w:rsidRDefault="00F16DCF" w:rsidP="00F16DCF">
      <w:pPr>
        <w:jc w:val="both"/>
        <w:rPr>
          <w:rFonts w:ascii="Times New Roman" w:hAnsi="Times New Roman" w:cs="Times New Roman"/>
          <w:sz w:val="24"/>
          <w:szCs w:val="24"/>
        </w:rPr>
      </w:pP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Latvijas Universitāte</w:t>
      </w:r>
    </w:p>
    <w:p w:rsidR="00F16DCF" w:rsidRPr="008B06E5" w:rsidRDefault="00F16DCF" w:rsidP="00F16DCF">
      <w:pPr>
        <w:spacing w:after="0" w:line="240" w:lineRule="auto"/>
        <w:ind w:left="11" w:hanging="11"/>
        <w:jc w:val="both"/>
        <w:rPr>
          <w:rFonts w:ascii="Times New Roman" w:hAnsi="Times New Roman" w:cs="Times New Roman"/>
        </w:rPr>
      </w:pPr>
      <w:proofErr w:type="spellStart"/>
      <w:r w:rsidRPr="008B06E5">
        <w:rPr>
          <w:rFonts w:ascii="Times New Roman" w:hAnsi="Times New Roman" w:cs="Times New Roman"/>
        </w:rPr>
        <w:t>Reģ</w:t>
      </w:r>
      <w:proofErr w:type="spellEnd"/>
      <w:r w:rsidRPr="008B06E5">
        <w:rPr>
          <w:rFonts w:ascii="Times New Roman" w:hAnsi="Times New Roman" w:cs="Times New Roman"/>
        </w:rPr>
        <w:t xml:space="preserve">. Nr. 172057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Nod. maks. </w:t>
      </w:r>
      <w:proofErr w:type="spellStart"/>
      <w:r w:rsidRPr="008B06E5">
        <w:rPr>
          <w:rFonts w:ascii="Times New Roman" w:hAnsi="Times New Roman" w:cs="Times New Roman"/>
        </w:rPr>
        <w:t>reģ</w:t>
      </w:r>
      <w:proofErr w:type="spellEnd"/>
      <w:r w:rsidRPr="008B06E5">
        <w:rPr>
          <w:rFonts w:ascii="Times New Roman" w:hAnsi="Times New Roman" w:cs="Times New Roman"/>
        </w:rPr>
        <w:t xml:space="preserve">. Nr. LV90000076669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Adrese: Raiņa bulvāris 19, Rīga, LV-1586,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Bankas rekvizīti: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Bankas nosaukums: Valsts kase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SWIFT kods: TRELLV22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IBAN konts: LV13TREL915010W000000</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Indriķis Muižnieks , LU rektors, Rīgā.</w:t>
      </w:r>
    </w:p>
    <w:p w:rsidR="00F16DCF" w:rsidRPr="008B06E5" w:rsidRDefault="00F16DCF" w:rsidP="00F16DCF">
      <w:pPr>
        <w:spacing w:after="0" w:line="240" w:lineRule="auto"/>
        <w:ind w:left="11" w:hanging="11"/>
        <w:jc w:val="both"/>
        <w:rPr>
          <w:rFonts w:ascii="Times New Roman" w:hAnsi="Times New Roman" w:cs="Times New Roman"/>
        </w:rPr>
      </w:pP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___/ _________________</w:t>
      </w:r>
    </w:p>
    <w:p w:rsidR="00F16DCF" w:rsidRPr="008B06E5" w:rsidRDefault="00F16DCF" w:rsidP="00F16DCF">
      <w:pPr>
        <w:spacing w:after="0" w:line="240" w:lineRule="auto"/>
        <w:ind w:left="11" w:hanging="11"/>
        <w:jc w:val="both"/>
        <w:rPr>
          <w:rFonts w:ascii="Times New Roman" w:hAnsi="Times New Roman" w:cs="Times New Roman"/>
        </w:rPr>
      </w:pPr>
      <w:proofErr w:type="spellStart"/>
      <w:r w:rsidRPr="008B06E5">
        <w:rPr>
          <w:rFonts w:ascii="Times New Roman" w:hAnsi="Times New Roman" w:cs="Times New Roman"/>
        </w:rPr>
        <w:t>Reģ</w:t>
      </w:r>
      <w:proofErr w:type="spellEnd"/>
      <w:r w:rsidRPr="008B06E5">
        <w:rPr>
          <w:rFonts w:ascii="Times New Roman" w:hAnsi="Times New Roman" w:cs="Times New Roman"/>
        </w:rPr>
        <w:t xml:space="preserve">. Nr. ______________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Nod. maks. </w:t>
      </w:r>
      <w:proofErr w:type="spellStart"/>
      <w:r w:rsidRPr="008B06E5">
        <w:rPr>
          <w:rFonts w:ascii="Times New Roman" w:hAnsi="Times New Roman" w:cs="Times New Roman"/>
        </w:rPr>
        <w:t>reģ</w:t>
      </w:r>
      <w:proofErr w:type="spellEnd"/>
      <w:r w:rsidRPr="008B06E5">
        <w:rPr>
          <w:rFonts w:ascii="Times New Roman" w:hAnsi="Times New Roman" w:cs="Times New Roman"/>
        </w:rPr>
        <w:t xml:space="preserve">. Nr. _____________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Adrese: _________________,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Bankas rekvizīti: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Bankas nosaukums: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SWIFT kods: </w:t>
      </w:r>
    </w:p>
    <w:p w:rsidR="00F16DCF" w:rsidRPr="008B06E5"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 xml:space="preserve">IBAN kods: </w:t>
      </w:r>
    </w:p>
    <w:p w:rsidR="00F16DCF" w:rsidRPr="00AF4829" w:rsidRDefault="00F16DCF" w:rsidP="00F16DCF">
      <w:pPr>
        <w:spacing w:after="0" w:line="240" w:lineRule="auto"/>
        <w:ind w:left="11" w:hanging="11"/>
        <w:jc w:val="both"/>
        <w:rPr>
          <w:rFonts w:ascii="Times New Roman" w:hAnsi="Times New Roman" w:cs="Times New Roman"/>
        </w:rPr>
      </w:pPr>
      <w:r w:rsidRPr="008B06E5">
        <w:rPr>
          <w:rFonts w:ascii="Times New Roman" w:hAnsi="Times New Roman" w:cs="Times New Roman"/>
        </w:rPr>
        <w:t>_____ Z.v. ________ Rīgā, ___/</w:t>
      </w:r>
    </w:p>
    <w:p w:rsidR="00122F69" w:rsidRDefault="00F16DCF">
      <w:bookmarkStart w:id="1" w:name="_GoBack"/>
      <w:bookmarkEnd w:id="1"/>
    </w:p>
    <w:sectPr w:rsidR="00122F69" w:rsidSect="00AF4829">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584F7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3413AC"/>
    <w:multiLevelType w:val="multilevel"/>
    <w:tmpl w:val="6772F8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A1"/>
    <w:rsid w:val="002C1B50"/>
    <w:rsid w:val="00570AA1"/>
    <w:rsid w:val="006172C0"/>
    <w:rsid w:val="0070534D"/>
    <w:rsid w:val="00F1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58855"/>
  <w15:chartTrackingRefBased/>
  <w15:docId w15:val="{6C12C1FC-20AA-BE48-BE97-16610CDFD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AA1"/>
    <w:pPr>
      <w:spacing w:after="160" w:line="259"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aistīto dokumentu saraksts"/>
    <w:basedOn w:val="Normal"/>
    <w:link w:val="ListParagraphChar"/>
    <w:uiPriority w:val="34"/>
    <w:qFormat/>
    <w:rsid w:val="00570AA1"/>
    <w:pPr>
      <w:ind w:left="720"/>
      <w:contextualSpacing/>
    </w:pPr>
  </w:style>
  <w:style w:type="character" w:customStyle="1" w:styleId="NoSpacingChar">
    <w:name w:val="No Spacing Char"/>
    <w:link w:val="NoSpacing"/>
    <w:uiPriority w:val="99"/>
    <w:locked/>
    <w:rsid w:val="00570AA1"/>
    <w:rPr>
      <w:rFonts w:ascii="Times New Roman" w:eastAsia="Times New Roman" w:hAnsi="Times New Roman" w:cs="Times New Roman"/>
    </w:rPr>
  </w:style>
  <w:style w:type="paragraph" w:styleId="NoSpacing">
    <w:name w:val="No Spacing"/>
    <w:link w:val="NoSpacingChar"/>
    <w:uiPriority w:val="99"/>
    <w:qFormat/>
    <w:rsid w:val="00570AA1"/>
    <w:rPr>
      <w:rFonts w:ascii="Times New Roman" w:eastAsia="Times New Roman" w:hAnsi="Times New Roman" w:cs="Times New Roman"/>
    </w:rPr>
  </w:style>
  <w:style w:type="character" w:customStyle="1" w:styleId="ListParagraphChar">
    <w:name w:val="List Paragraph Char"/>
    <w:aliases w:val="Saistīto dokumentu saraksts Char"/>
    <w:link w:val="ListParagraph"/>
    <w:uiPriority w:val="34"/>
    <w:locked/>
    <w:rsid w:val="00570AA1"/>
    <w:rPr>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5169</Characters>
  <Application>Microsoft Office Word</Application>
  <DocSecurity>0</DocSecurity>
  <Lines>43</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Justs Dimants</dc:creator>
  <cp:keywords/>
  <dc:description/>
  <cp:lastModifiedBy>Justs Dimants</cp:lastModifiedBy>
  <cp:revision>2</cp:revision>
  <dcterms:created xsi:type="dcterms:W3CDTF">2021-10-22T13:06:00Z</dcterms:created>
  <dcterms:modified xsi:type="dcterms:W3CDTF">2021-10-22T13:06:00Z</dcterms:modified>
</cp:coreProperties>
</file>