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02D" w:rsidRPr="001470FE" w:rsidRDefault="001470FE" w:rsidP="00AF02B5">
      <w:pPr>
        <w:ind w:left="0" w:hanging="2"/>
        <w:jc w:val="right"/>
        <w:rPr>
          <w:sz w:val="20"/>
          <w:szCs w:val="20"/>
        </w:rPr>
      </w:pPr>
      <w:r w:rsidRPr="001470FE">
        <w:rPr>
          <w:sz w:val="20"/>
          <w:szCs w:val="20"/>
        </w:rPr>
        <w:t>2.</w:t>
      </w:r>
      <w:r w:rsidR="004A1122" w:rsidRPr="001470FE">
        <w:rPr>
          <w:sz w:val="20"/>
          <w:szCs w:val="20"/>
        </w:rPr>
        <w:t xml:space="preserve"> </w:t>
      </w:r>
      <w:r w:rsidRPr="001470FE">
        <w:rPr>
          <w:sz w:val="20"/>
          <w:szCs w:val="20"/>
        </w:rPr>
        <w:t>pielikums</w:t>
      </w:r>
    </w:p>
    <w:p w:rsidR="00C1202D" w:rsidRPr="001470FE" w:rsidRDefault="001470FE" w:rsidP="00C1202D">
      <w:pPr>
        <w:spacing w:line="240" w:lineRule="auto"/>
        <w:ind w:left="0" w:hanging="2"/>
        <w:jc w:val="right"/>
        <w:rPr>
          <w:bCs/>
          <w:sz w:val="20"/>
          <w:szCs w:val="20"/>
        </w:rPr>
      </w:pPr>
      <w:r w:rsidRPr="001470FE">
        <w:rPr>
          <w:bCs/>
          <w:sz w:val="20"/>
          <w:szCs w:val="20"/>
        </w:rPr>
        <w:t xml:space="preserve">Intelektuālā īpašuma </w:t>
      </w:r>
    </w:p>
    <w:p w:rsidR="00C1202D" w:rsidRPr="001470FE" w:rsidRDefault="001470FE" w:rsidP="00C1202D">
      <w:pPr>
        <w:spacing w:line="240" w:lineRule="auto"/>
        <w:ind w:left="0" w:hanging="2"/>
        <w:jc w:val="right"/>
        <w:rPr>
          <w:bCs/>
          <w:sz w:val="20"/>
          <w:szCs w:val="20"/>
        </w:rPr>
      </w:pPr>
      <w:r w:rsidRPr="001470FE">
        <w:rPr>
          <w:bCs/>
          <w:sz w:val="20"/>
          <w:szCs w:val="20"/>
        </w:rPr>
        <w:t xml:space="preserve">“Paņēmiens liela diametra un apjoma cilindrisku </w:t>
      </w:r>
    </w:p>
    <w:p w:rsidR="00C1202D" w:rsidRPr="001470FE" w:rsidRDefault="001470FE" w:rsidP="00C1202D">
      <w:pPr>
        <w:spacing w:line="240" w:lineRule="auto"/>
        <w:ind w:left="0" w:hanging="2"/>
        <w:jc w:val="right"/>
        <w:rPr>
          <w:bCs/>
          <w:sz w:val="20"/>
          <w:szCs w:val="20"/>
        </w:rPr>
      </w:pPr>
      <w:r w:rsidRPr="001470FE">
        <w:rPr>
          <w:bCs/>
          <w:sz w:val="20"/>
          <w:szCs w:val="20"/>
        </w:rPr>
        <w:t xml:space="preserve">magnētisko dipolu izgatavošanai” </w:t>
      </w:r>
    </w:p>
    <w:p w:rsidR="00C1202D" w:rsidRPr="001470FE" w:rsidRDefault="001470FE" w:rsidP="00C1202D">
      <w:pPr>
        <w:spacing w:line="240" w:lineRule="auto"/>
        <w:ind w:left="0" w:hanging="2"/>
        <w:jc w:val="right"/>
        <w:rPr>
          <w:bCs/>
          <w:sz w:val="20"/>
          <w:szCs w:val="20"/>
        </w:rPr>
      </w:pPr>
      <w:r w:rsidRPr="001470FE">
        <w:rPr>
          <w:bCs/>
          <w:sz w:val="20"/>
          <w:szCs w:val="20"/>
        </w:rPr>
        <w:t>izsoles noteikumi</w:t>
      </w:r>
      <w:r w:rsidRPr="001470FE">
        <w:rPr>
          <w:bCs/>
          <w:sz w:val="20"/>
          <w:szCs w:val="20"/>
        </w:rPr>
        <w:t>em</w:t>
      </w:r>
    </w:p>
    <w:p w:rsidR="00AF02B5" w:rsidRPr="001470FE" w:rsidRDefault="001470FE" w:rsidP="00AF02B5">
      <w:pPr>
        <w:ind w:left="0" w:hanging="2"/>
        <w:jc w:val="right"/>
        <w:rPr>
          <w:b/>
          <w:bCs/>
          <w:sz w:val="20"/>
          <w:szCs w:val="20"/>
        </w:rPr>
      </w:pPr>
      <w:r w:rsidRPr="001470FE">
        <w:rPr>
          <w:b/>
          <w:bCs/>
          <w:sz w:val="20"/>
          <w:szCs w:val="20"/>
        </w:rPr>
        <w:t xml:space="preserve"> </w:t>
      </w:r>
    </w:p>
    <w:p w:rsidR="00AF02B5" w:rsidRPr="0068667F" w:rsidRDefault="001470FE" w:rsidP="00AF02B5">
      <w:pPr>
        <w:ind w:left="0" w:hanging="2"/>
        <w:jc w:val="center"/>
        <w:rPr>
          <w:iCs/>
        </w:rPr>
      </w:pPr>
      <w:r w:rsidRPr="0068667F">
        <w:rPr>
          <w:b/>
          <w:bCs/>
        </w:rPr>
        <w:t>Objekta apraksts</w:t>
      </w:r>
    </w:p>
    <w:p w:rsidR="00AF02B5" w:rsidRPr="0068667F" w:rsidRDefault="001470FE" w:rsidP="00AF02B5">
      <w:pPr>
        <w:spacing w:before="100" w:beforeAutospacing="1" w:after="100" w:afterAutospacing="1" w:line="240" w:lineRule="auto"/>
        <w:ind w:left="0" w:hanging="2"/>
        <w:outlineLvl w:val="2"/>
        <w:rPr>
          <w:b/>
          <w:bCs/>
        </w:rPr>
      </w:pPr>
      <w:r w:rsidRPr="0068667F">
        <w:rPr>
          <w:b/>
          <w:bCs/>
        </w:rPr>
        <w:t>IZSOLE:</w:t>
      </w:r>
    </w:p>
    <w:p w:rsidR="00AF02B5" w:rsidRPr="0068667F" w:rsidRDefault="001470FE" w:rsidP="00AF02B5">
      <w:pPr>
        <w:spacing w:before="100" w:beforeAutospacing="1" w:after="100" w:afterAutospacing="1" w:line="240" w:lineRule="auto"/>
        <w:ind w:left="0" w:hanging="2"/>
        <w:jc w:val="both"/>
      </w:pPr>
      <w:r w:rsidRPr="0068667F">
        <w:t xml:space="preserve">Pētījumu rezultātā radītā intelektuālā īpašuma licencēšana vai </w:t>
      </w:r>
      <w:r w:rsidRPr="0068667F">
        <w:t>pārdošana Latvijas Universitātē (LU) notiek saskaņā ar Zinātniskās darbības likuma 39.</w:t>
      </w:r>
      <w:r w:rsidRPr="0068667F">
        <w:rPr>
          <w:vertAlign w:val="superscript"/>
        </w:rPr>
        <w:t>5</w:t>
      </w:r>
      <w:r w:rsidRPr="0068667F">
        <w:t xml:space="preserve"> pantu.</w:t>
      </w:r>
    </w:p>
    <w:p w:rsidR="00AF02B5" w:rsidRPr="0068667F" w:rsidRDefault="001470FE" w:rsidP="00AF02B5">
      <w:pPr>
        <w:spacing w:before="100" w:beforeAutospacing="1" w:after="100" w:afterAutospacing="1" w:line="240" w:lineRule="auto"/>
        <w:ind w:left="0" w:hanging="2"/>
        <w:jc w:val="both"/>
      </w:pPr>
      <w:r w:rsidRPr="0068667F">
        <w:t>LU izsludina rakstisku intelektuālā īpašuma “Paņēmiens liela diametra un apjoma cilindrisku magnētisko dipolu izgatavošanai” izsoli.</w:t>
      </w:r>
    </w:p>
    <w:p w:rsidR="00AF02B5" w:rsidRPr="0068667F" w:rsidRDefault="001470FE" w:rsidP="00AF02B5">
      <w:pPr>
        <w:spacing w:before="100" w:beforeAutospacing="1" w:after="100" w:afterAutospacing="1" w:line="240" w:lineRule="auto"/>
        <w:ind w:left="0" w:hanging="2"/>
        <w:outlineLvl w:val="2"/>
        <w:rPr>
          <w:b/>
          <w:bCs/>
        </w:rPr>
      </w:pPr>
      <w:r w:rsidRPr="0068667F">
        <w:rPr>
          <w:b/>
          <w:bCs/>
        </w:rPr>
        <w:t>IZGUDROJUMA PĀRSKATS:</w:t>
      </w:r>
    </w:p>
    <w:p w:rsidR="00AF02B5" w:rsidRPr="0068667F" w:rsidRDefault="001470FE" w:rsidP="00AF02B5">
      <w:pPr>
        <w:spacing w:before="100" w:beforeAutospacing="1" w:after="100" w:afterAutospacing="1" w:line="240" w:lineRule="auto"/>
        <w:ind w:left="0" w:hanging="2"/>
        <w:jc w:val="both"/>
      </w:pPr>
      <w:r w:rsidRPr="0068667F">
        <w:rPr>
          <w:b/>
          <w:bCs/>
        </w:rPr>
        <w:t>Izsole</w:t>
      </w:r>
      <w:r w:rsidRPr="0068667F">
        <w:rPr>
          <w:b/>
          <w:bCs/>
        </w:rPr>
        <w:t>s objekts</w:t>
      </w:r>
      <w:r w:rsidRPr="0068667F">
        <w:t xml:space="preserve"> – licence intelektuālā īpašuma – izgudrojuma “Paņēmiens liela diametra un apjoma cilindrisku magnētisko dipolu izgatavošanai”, atbilstoši Latvijas patenta pieteikumam Nr. LVP2022000058 un tehnoloģijas “Paņēmiens liela diametra un apjoma cilindris</w:t>
      </w:r>
      <w:r w:rsidRPr="0068667F">
        <w:t>ku magnētisko dipolu izgatavošanai” (turpmāk – Intelektuālais īpašums) izmantošanas tiesībām.</w:t>
      </w:r>
    </w:p>
    <w:p w:rsidR="00AF02B5" w:rsidRPr="0068667F" w:rsidRDefault="001470FE" w:rsidP="00AF02B5">
      <w:pPr>
        <w:spacing w:before="100" w:beforeAutospacing="1" w:after="100" w:afterAutospacing="1" w:line="240" w:lineRule="auto"/>
        <w:ind w:left="0" w:hanging="2"/>
        <w:jc w:val="both"/>
      </w:pPr>
      <w:r w:rsidRPr="0068667F">
        <w:t xml:space="preserve">Detalizētāku informāciju par izgudrojumu un sākotnējo komercializācijas stratēģiju var sniegt projekta vadītājs: Jurijs Gelfgats, </w:t>
      </w:r>
      <w:hyperlink r:id="rId5" w:history="1">
        <w:r w:rsidRPr="0068667F">
          <w:rPr>
            <w:rStyle w:val="a3"/>
          </w:rPr>
          <w:t>jurijs.gelfgats@lu.lv</w:t>
        </w:r>
      </w:hyperlink>
      <w:r w:rsidRPr="0068667F">
        <w:t xml:space="preserve">, Toms Beinerts, </w:t>
      </w:r>
      <w:hyperlink r:id="rId6" w:history="1">
        <w:r w:rsidRPr="0068667F">
          <w:rPr>
            <w:rStyle w:val="a3"/>
          </w:rPr>
          <w:t>toms.beinerts@lu.lv</w:t>
        </w:r>
      </w:hyperlink>
      <w:r w:rsidRPr="0068667F">
        <w:t xml:space="preserve"> </w:t>
      </w:r>
    </w:p>
    <w:p w:rsidR="00AF02B5" w:rsidRPr="0068667F" w:rsidRDefault="001470FE" w:rsidP="00AF02B5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ind w:leftChars="0" w:left="0" w:firstLineChars="0" w:hanging="2"/>
        <w:textDirection w:val="lrTb"/>
        <w:textAlignment w:val="auto"/>
        <w:outlineLvl w:val="9"/>
      </w:pPr>
      <w:r w:rsidRPr="0068667F">
        <w:t xml:space="preserve">Cenas diapazons: atbilstoši pretendenta piedāvājumam  </w:t>
      </w:r>
    </w:p>
    <w:p w:rsidR="00AF02B5" w:rsidRPr="0068667F" w:rsidRDefault="001470FE" w:rsidP="00AF02B5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ind w:leftChars="0" w:left="0" w:firstLineChars="0" w:hanging="2"/>
        <w:textDirection w:val="lrTb"/>
        <w:textAlignment w:val="auto"/>
        <w:outlineLvl w:val="9"/>
      </w:pPr>
      <w:r w:rsidRPr="0068667F">
        <w:t>Atslēgas vārdi: sakausējumi, alumīnijs</w:t>
      </w:r>
    </w:p>
    <w:p w:rsidR="00AF02B5" w:rsidRPr="0068667F" w:rsidRDefault="001470FE" w:rsidP="00AF02B5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ind w:leftChars="0" w:left="0" w:firstLineChars="0" w:hanging="2"/>
        <w:textDirection w:val="lrTb"/>
        <w:textAlignment w:val="auto"/>
        <w:outlineLvl w:val="9"/>
      </w:pPr>
      <w:r w:rsidRPr="0068667F">
        <w:t>Pētījumu veica: L</w:t>
      </w:r>
      <w:r w:rsidRPr="0068667F">
        <w:t>U Fizikas institūts</w:t>
      </w:r>
    </w:p>
    <w:p w:rsidR="00AF02B5" w:rsidRPr="0068667F" w:rsidRDefault="001470FE" w:rsidP="00AF02B5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ind w:leftChars="0" w:left="0" w:firstLineChars="0" w:hanging="2"/>
        <w:textDirection w:val="lrTb"/>
        <w:textAlignment w:val="auto"/>
        <w:outlineLvl w:val="9"/>
      </w:pPr>
      <w:r w:rsidRPr="0068667F">
        <w:t>Kontakta telefons: +371 26 599 701 (Toms Beinerts), +371 22 300 131 (Gints Rieksts)</w:t>
      </w:r>
    </w:p>
    <w:p w:rsidR="00AF02B5" w:rsidRPr="0068667F" w:rsidRDefault="001470FE" w:rsidP="00AF02B5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ind w:leftChars="0" w:left="0" w:firstLineChars="0" w:hanging="2"/>
        <w:textDirection w:val="lrTb"/>
        <w:textAlignment w:val="auto"/>
        <w:outlineLvl w:val="9"/>
      </w:pPr>
      <w:r w:rsidRPr="0068667F">
        <w:t xml:space="preserve">Kontakta e-pasts: </w:t>
      </w:r>
      <w:hyperlink r:id="rId7" w:history="1">
        <w:r w:rsidRPr="0068667F">
          <w:rPr>
            <w:rStyle w:val="a3"/>
          </w:rPr>
          <w:t>toms.beinerts@lu.lv</w:t>
        </w:r>
      </w:hyperlink>
      <w:r w:rsidRPr="0068667F">
        <w:t xml:space="preserve">, </w:t>
      </w:r>
      <w:hyperlink r:id="rId8" w:history="1">
        <w:r w:rsidRPr="0068667F">
          <w:rPr>
            <w:rStyle w:val="a3"/>
          </w:rPr>
          <w:t>gints.rieksts@lu.lv</w:t>
        </w:r>
      </w:hyperlink>
      <w:r w:rsidRPr="0068667F">
        <w:t xml:space="preserve"> </w:t>
      </w:r>
    </w:p>
    <w:p w:rsidR="00AF02B5" w:rsidRDefault="001470FE" w:rsidP="00AF02B5">
      <w:pPr>
        <w:ind w:left="0" w:hanging="2"/>
        <w:jc w:val="both"/>
        <w:rPr>
          <w:b/>
          <w:bCs/>
        </w:rPr>
      </w:pPr>
      <w:r w:rsidRPr="0068667F">
        <w:t>Intele</w:t>
      </w:r>
      <w:r w:rsidRPr="0068667F">
        <w:t>ktuālais īpašums radīts darbības programmas “Izaugsme un nodarbinātība” 1.2.1. specifiskā atbalsta mērķa “Palielināt privātā sektora investīcijas” P&amp;A 1.2.1.2. pasākuma “Atbalsts tehnoloģiju pārneses sistēmas pilnveidošanai” projekta Nr. KC-PI-2020/54 “Rot</w:t>
      </w:r>
      <w:r w:rsidRPr="0068667F">
        <w:t>ējošu magnētisko dipolu sistēma šķidra alumīnija efektīvam transportam” ietvaros.</w:t>
      </w:r>
    </w:p>
    <w:p w:rsidR="00AF02B5" w:rsidRDefault="00AF02B5" w:rsidP="00AF02B5">
      <w:pPr>
        <w:ind w:left="0" w:hanging="2"/>
        <w:jc w:val="both"/>
        <w:rPr>
          <w:b/>
          <w:bCs/>
        </w:rPr>
      </w:pPr>
    </w:p>
    <w:p w:rsidR="00AF02B5" w:rsidRPr="0068667F" w:rsidRDefault="001470FE" w:rsidP="006B3AE1">
      <w:pPr>
        <w:spacing w:line="240" w:lineRule="auto"/>
        <w:ind w:left="0" w:hanging="2"/>
        <w:jc w:val="center"/>
        <w:rPr>
          <w:b/>
          <w:bCs/>
        </w:rPr>
      </w:pPr>
      <w:r w:rsidRPr="0068667F">
        <w:rPr>
          <w:b/>
          <w:bCs/>
        </w:rPr>
        <w:t>Izgudrojuma un tehnoloģijas “PAŅĒMIENS LIELA DIAMETRA UN APJOMA CILINDRISKU MAGNĒTISKO DIPOLU IZGATAVOŠANAI”</w:t>
      </w:r>
    </w:p>
    <w:p w:rsidR="00AF02B5" w:rsidRPr="0068667F" w:rsidRDefault="001470FE" w:rsidP="006B3AE1">
      <w:pPr>
        <w:spacing w:line="240" w:lineRule="auto"/>
        <w:ind w:left="0" w:hanging="2"/>
        <w:jc w:val="center"/>
        <w:rPr>
          <w:b/>
          <w:bCs/>
        </w:rPr>
      </w:pPr>
      <w:r w:rsidRPr="0068667F">
        <w:rPr>
          <w:b/>
          <w:bCs/>
        </w:rPr>
        <w:t>(turpmāk</w:t>
      </w:r>
      <w:r w:rsidR="00531618">
        <w:rPr>
          <w:b/>
          <w:bCs/>
        </w:rPr>
        <w:t xml:space="preserve"> – </w:t>
      </w:r>
      <w:r w:rsidRPr="0068667F">
        <w:rPr>
          <w:b/>
          <w:bCs/>
        </w:rPr>
        <w:t>izgudrojums) īss apraksts</w:t>
      </w:r>
    </w:p>
    <w:p w:rsidR="00AF02B5" w:rsidRPr="0068667F" w:rsidRDefault="00AF02B5" w:rsidP="00AF02B5">
      <w:pPr>
        <w:ind w:left="0" w:hanging="2"/>
        <w:jc w:val="both"/>
        <w:rPr>
          <w:b/>
          <w:bCs/>
        </w:rPr>
      </w:pPr>
    </w:p>
    <w:p w:rsidR="00AF02B5" w:rsidRPr="0068667F" w:rsidRDefault="001470FE" w:rsidP="00AF02B5">
      <w:pPr>
        <w:ind w:left="0" w:hanging="2"/>
        <w:jc w:val="both"/>
      </w:pPr>
      <w:r w:rsidRPr="0068667F">
        <w:rPr>
          <w:b/>
          <w:bCs/>
        </w:rPr>
        <w:t>IZGUDROJUMA PRODUKTS:</w:t>
      </w:r>
      <w:r w:rsidRPr="0068667F">
        <w:t xml:space="preserve"> pate</w:t>
      </w:r>
      <w:r w:rsidRPr="0068667F">
        <w:t>ntēta tehnoloģija un tās apraksts elektromagnētiskas iekārtas ar pastāvīgajiem magnētiem izgatavošanai, ko var izmantot iedarbībai uz šķidrām elektriski vadošām vidēm, lai elektromagnētiski ietekmētu to hidrodinamiskos raksturlielumus un siltuma pārnesi, j</w:t>
      </w:r>
      <w:r w:rsidRPr="0068667F">
        <w:t>o īpaši šķidros metālos, pusvadītāju materiālu kausējumos utt.</w:t>
      </w:r>
    </w:p>
    <w:p w:rsidR="00AF02B5" w:rsidRPr="0068667F" w:rsidRDefault="001470FE" w:rsidP="00AF02B5">
      <w:pPr>
        <w:ind w:left="0" w:hanging="2"/>
        <w:jc w:val="both"/>
        <w:rPr>
          <w:b/>
          <w:bCs/>
        </w:rPr>
      </w:pPr>
      <w:r w:rsidRPr="0068667F">
        <w:rPr>
          <w:b/>
          <w:bCs/>
        </w:rPr>
        <w:t xml:space="preserve">KOPSAVILKUMS: </w:t>
      </w:r>
      <w:r w:rsidR="00531618">
        <w:t>i</w:t>
      </w:r>
      <w:r w:rsidRPr="0068667F">
        <w:t>zgudrojums attiecas uz tehnoloģijām lielu izmēru un apjoma cilindrisku pastāvīgo magnētu izgatavošanu, kas magnetizēti perpendikulāri to garenvirziena asij</w:t>
      </w:r>
      <w:r w:rsidR="00531618">
        <w:t>,</w:t>
      </w:r>
      <w:r w:rsidRPr="0068667F">
        <w:t xml:space="preserve"> tād</w:t>
      </w:r>
      <w:r w:rsidR="00531618">
        <w:t>ē</w:t>
      </w:r>
      <w:r w:rsidRPr="0068667F">
        <w:t>jādi veidojot cil</w:t>
      </w:r>
      <w:r w:rsidRPr="0068667F">
        <w:t xml:space="preserve">indriskus magnētiskos dipolus, kas ir orientēti to diametru virzienā. Šādus pastāvīgos magnētus var izmantot dažādos rūpniecības agregātos, kas paredzēti, piemēram, iedarbībai uz šķidrām </w:t>
      </w:r>
      <w:r w:rsidRPr="0068667F">
        <w:lastRenderedPageBreak/>
        <w:t>elektriski vadošām vidēm, lai elektromagnētiski ietekmētu to hidrodin</w:t>
      </w:r>
      <w:r w:rsidRPr="0068667F">
        <w:t>amiskos raksturlielumus un siltuma pārnesi, jo īpaši šķidros metālos, pusvadītāju materiālu kausējumos utt.</w:t>
      </w:r>
    </w:p>
    <w:p w:rsidR="00AF02B5" w:rsidRPr="0068667F" w:rsidRDefault="001470FE" w:rsidP="00AF02B5">
      <w:pPr>
        <w:ind w:left="0" w:hanging="2"/>
        <w:jc w:val="both"/>
      </w:pPr>
      <w:r w:rsidRPr="0068667F">
        <w:rPr>
          <w:b/>
          <w:bCs/>
        </w:rPr>
        <w:t>NOZARE:</w:t>
      </w:r>
      <w:r w:rsidRPr="0068667F">
        <w:t xml:space="preserve"> </w:t>
      </w:r>
      <w:r w:rsidR="00531618">
        <w:t>š</w:t>
      </w:r>
      <w:r w:rsidRPr="0068667F">
        <w:t>is izgudrojums attiecas uz metalurģijas nozari, īpaši alumīnija ražošanas iekārtu ražotājiem.</w:t>
      </w:r>
    </w:p>
    <w:p w:rsidR="00AF02B5" w:rsidRPr="0068667F" w:rsidRDefault="001470FE" w:rsidP="00AF02B5">
      <w:pPr>
        <w:ind w:left="0" w:hanging="2"/>
        <w:jc w:val="both"/>
      </w:pPr>
      <w:r w:rsidRPr="0068667F">
        <w:rPr>
          <w:b/>
          <w:bCs/>
        </w:rPr>
        <w:t>IZGUDROJUMA MĒRĶIS UN BŪTĪBA:</w:t>
      </w:r>
      <w:r w:rsidRPr="0068667F">
        <w:t xml:space="preserve"> </w:t>
      </w:r>
      <w:r w:rsidR="00531618">
        <w:t>š</w:t>
      </w:r>
      <w:r w:rsidRPr="0068667F">
        <w:t xml:space="preserve">ī izgudrojuma </w:t>
      </w:r>
      <w:r w:rsidRPr="0068667F">
        <w:t>mērķis ir piedāvāt liela mēroga cilindrisko magnētisko dipolu, kas veidoti no pastāvīgajiem magnētiem, ražošanas tehnoloģiju un un/vai samazināt to izgatavošanas aprīkojuma izmaksas.</w:t>
      </w:r>
    </w:p>
    <w:p w:rsidR="00AF02B5" w:rsidRPr="0068667F" w:rsidRDefault="001470FE" w:rsidP="00AF02B5">
      <w:pPr>
        <w:ind w:left="0" w:hanging="2"/>
        <w:jc w:val="both"/>
      </w:pPr>
      <w:r w:rsidRPr="0068667F">
        <w:t>Izvirzītais mērķis tiek sasniegts ar piedāvāto paņēmienu, kas paredz, ka:</w:t>
      </w:r>
    </w:p>
    <w:p w:rsidR="00AF02B5" w:rsidRPr="0068667F" w:rsidRDefault="001470FE" w:rsidP="00AF02B5">
      <w:pPr>
        <w:ind w:left="0" w:hanging="2"/>
        <w:jc w:val="both"/>
      </w:pPr>
      <w:r w:rsidRPr="0068667F">
        <w:t>- magnētiskā dipola kopējais garums tiek samontēts no atsevišķiem cilindriskiem posmiem (mini-dipoliem), kas atrodas cieši blakus viens otram un ir orientēti tā, lai magnētiskā lauka intensitātes vektori visos minidipolos būtu vērsti vienā virzienā;</w:t>
      </w:r>
    </w:p>
    <w:p w:rsidR="00AF02B5" w:rsidRPr="0068667F" w:rsidRDefault="001470FE" w:rsidP="00AF02B5">
      <w:pPr>
        <w:ind w:left="0" w:hanging="2"/>
        <w:jc w:val="both"/>
      </w:pPr>
      <w:r w:rsidRPr="0068667F">
        <w:t>- min</w:t>
      </w:r>
      <w:r w:rsidRPr="0068667F">
        <w:t>idipoli ir izgatavoti atsevišķiem atbilstošas formas pastāvīgo magnētu elementiem, kas kombinēti cilindriskā apvalkā un ir simetriski izvietoti attiecībā pret minidipola šķērsgriezuma simetrijas asīm</w:t>
      </w:r>
      <w:r w:rsidR="006E7C43">
        <w:t>,</w:t>
      </w:r>
      <w:r w:rsidRPr="0068667F">
        <w:t xml:space="preserve"> un kopumā veido nepieciešamo cilindriskā dipola kopējā </w:t>
      </w:r>
      <w:r w:rsidRPr="0068667F">
        <w:t>šķērsgriezuma konfigurāciju un tā magnetizācijas vektora vispārējo virzienu;</w:t>
      </w:r>
    </w:p>
    <w:p w:rsidR="00AF02B5" w:rsidRPr="0068667F" w:rsidRDefault="001470FE" w:rsidP="00AF02B5">
      <w:pPr>
        <w:ind w:left="0" w:hanging="2"/>
        <w:jc w:val="both"/>
      </w:pPr>
      <w:r w:rsidRPr="0068667F">
        <w:t>- vienā minidipolā tā šķērsgriezums var tikt sadalīts divās vai vairāk daļās ar šķērssienu, kas atrodas gar minidipola diametru un ir izgatavota no nemagnētiska materiāla;</w:t>
      </w:r>
    </w:p>
    <w:p w:rsidR="00AF02B5" w:rsidRPr="0068667F" w:rsidRDefault="001470FE" w:rsidP="00AF02B5">
      <w:pPr>
        <w:ind w:left="0" w:hanging="2"/>
        <w:jc w:val="both"/>
      </w:pPr>
      <w:r w:rsidRPr="0068667F">
        <w:t xml:space="preserve">- </w:t>
      </w:r>
      <w:r w:rsidRPr="0068667F">
        <w:t>cilindriskā dipola vispārējās montāžas laikā visā tā garumā minidipoli tiek orientēti vajadzīgajā magnetizācijas vektora virzienā, izmantojot vadotnes, kas uzstādītas paralēli cilindriskā dipola asij;</w:t>
      </w:r>
    </w:p>
    <w:p w:rsidR="00AF02B5" w:rsidRPr="0068667F" w:rsidRDefault="001470FE" w:rsidP="00AF02B5">
      <w:pPr>
        <w:ind w:left="0" w:hanging="2"/>
        <w:jc w:val="both"/>
      </w:pPr>
      <w:r w:rsidRPr="0068667F">
        <w:t>- lai sasniegtu nepieciešamo minidipolu orientāciju cil</w:t>
      </w:r>
      <w:r w:rsidRPr="0068667F">
        <w:t>indriskā dipola kopējā magnētiskajā sistēmā, katrs minidipols ir nodrošināts ar centrēšanas elementu, kas nodrošina to novietojumu paralēli magnētiskā dipola kopējai garenasij</w:t>
      </w:r>
      <w:r w:rsidR="009B6A88">
        <w:t>;</w:t>
      </w:r>
    </w:p>
    <w:p w:rsidR="00AF02B5" w:rsidRPr="0068667F" w:rsidRDefault="001470FE" w:rsidP="00AF02B5">
      <w:pPr>
        <w:ind w:left="0" w:hanging="2"/>
        <w:jc w:val="both"/>
      </w:pPr>
      <w:r w:rsidRPr="0068667F">
        <w:t>- minidipolu montāžas process no atsevišķiem maziem pastāvīgajiem magnētiem var</w:t>
      </w:r>
      <w:r w:rsidRPr="0068667F">
        <w:t xml:space="preserve"> tikt veikts uz feromagnētiska materiāla loksnes, sadalot magnētus simetriskās grupās attiecībā pret tā šķērsgriezuma diametru, pēc tam tos sabīda tuvu viens otram, nofiksē un no ārpuses apņem ar gredzenveida apvalku;</w:t>
      </w:r>
    </w:p>
    <w:p w:rsidR="00AF02B5" w:rsidRPr="0068667F" w:rsidRDefault="001470FE" w:rsidP="00AF02B5">
      <w:pPr>
        <w:ind w:left="0" w:hanging="2"/>
        <w:jc w:val="both"/>
      </w:pPr>
      <w:r w:rsidRPr="0068667F">
        <w:t>- cilindriskā dipola kopējais garums t</w:t>
      </w:r>
      <w:r w:rsidRPr="0068667F">
        <w:t>iek samontēts no minidipolu komplekta, kas ir atbilstoši orientēti to magnetizācijas vektora virzienā, tuvinot tos līdz pilnīgai saskarei vienam ar otru un ar fiksācijas līdzekļiem nofiksējot tos galīgajā pozīcijā.</w:t>
      </w:r>
    </w:p>
    <w:p w:rsidR="00AF02B5" w:rsidRPr="0068667F" w:rsidRDefault="001470FE" w:rsidP="00AF02B5">
      <w:pPr>
        <w:ind w:left="0" w:hanging="2"/>
        <w:jc w:val="both"/>
      </w:pPr>
      <w:r w:rsidRPr="0068667F">
        <w:t>Piedāvātais paņēmiens liela diametra un a</w:t>
      </w:r>
      <w:r w:rsidRPr="0068667F">
        <w:t xml:space="preserve">pjoma cilindrisku magnētisko dipolu izgatavošanai ir parādīts 1.-7. zīm. </w:t>
      </w:r>
    </w:p>
    <w:p w:rsidR="00AF02B5" w:rsidRPr="0068667F" w:rsidRDefault="001470FE" w:rsidP="00AF02B5">
      <w:pPr>
        <w:ind w:left="0" w:hanging="2"/>
        <w:jc w:val="both"/>
      </w:pPr>
      <w:r w:rsidRPr="0068667F">
        <w:t>1.</w:t>
      </w:r>
      <w:r w:rsidR="009B6A88">
        <w:t xml:space="preserve"> </w:t>
      </w:r>
      <w:r w:rsidRPr="0068667F">
        <w:t>zīm. ir parādītas cilindriska dipola shēmas</w:t>
      </w:r>
      <w:r w:rsidR="009B6A88">
        <w:t xml:space="preserve"> – </w:t>
      </w:r>
      <w:r w:rsidRPr="0068667F">
        <w:t>cilindrisku pastāvīgo magnētu, kas magnetizēts gar tā šķērsgriezuma diametru un ir izgatavots vai nu no viengabala sagataves (1.a zīm</w:t>
      </w:r>
      <w:r w:rsidRPr="0068667F">
        <w:t>.), vai sastāv no vairākām atsevišķām sagatavēm (1.b zīm.), un indukcijas sadalījuma magnētiskā lauka attēls atrodas ārpus tā apkārtmēra (1.c zīm.);</w:t>
      </w:r>
    </w:p>
    <w:p w:rsidR="00AF02B5" w:rsidRPr="0068667F" w:rsidRDefault="001470FE" w:rsidP="00AF02B5">
      <w:pPr>
        <w:ind w:left="0" w:hanging="2"/>
        <w:jc w:val="both"/>
      </w:pPr>
      <w:r w:rsidRPr="0068667F">
        <w:t>2.</w:t>
      </w:r>
      <w:r w:rsidR="009B6A88">
        <w:t xml:space="preserve"> </w:t>
      </w:r>
      <w:r w:rsidRPr="0068667F">
        <w:t>zīm. ir parādīta cilindriskā dipola montāžas no minidipoliem vispārējā procesa shēma, kur 2.a zīm. – vie</w:t>
      </w:r>
      <w:r w:rsidRPr="0068667F">
        <w:t>nas magnētiskās rindas veidošana no nelieliem, rūpnieciski ražotiem pastāvīgajiem magnētiem; 2.b zīm.</w:t>
      </w:r>
      <w:r w:rsidR="009B6A88">
        <w:t xml:space="preserve"> – </w:t>
      </w:r>
      <w:r w:rsidRPr="0068667F">
        <w:t>minidipola iekšēju rindu mehāniska sabīdīšana kopā un nostiprināšana; 2.c zīm. – nākamo magnētu rindu uzlikšana un mehāniska piebīdīšana iepriekšējām</w:t>
      </w:r>
      <w:r w:rsidR="009B6A88">
        <w:t>,</w:t>
      </w:r>
      <w:r w:rsidRPr="0068667F">
        <w:t xml:space="preserve"> l</w:t>
      </w:r>
      <w:r w:rsidRPr="0068667F">
        <w:t>īdz tiek iegūts pilns minidipola salikums; 2.d zīm.</w:t>
      </w:r>
      <w:r w:rsidR="009B6A88">
        <w:t xml:space="preserve"> –</w:t>
      </w:r>
      <w:r w:rsidRPr="0068667F">
        <w:t xml:space="preserve"> saliktu magnētisko rindu gala nostiprināšana</w:t>
      </w:r>
      <w:r w:rsidR="009B6A88">
        <w:t>,</w:t>
      </w:r>
      <w:r w:rsidRPr="0068667F">
        <w:t xml:space="preserve"> tos aptverot ar nemagnētisku aploku; 2.e zīm.</w:t>
      </w:r>
      <w:r w:rsidR="009B6A88">
        <w:t xml:space="preserve"> – </w:t>
      </w:r>
      <w:r w:rsidRPr="0068667F">
        <w:t>minidipolu novietošana uz vadotnēm un 2.f zīm.</w:t>
      </w:r>
      <w:r w:rsidR="009B6A88">
        <w:t xml:space="preserve"> – </w:t>
      </w:r>
      <w:r w:rsidRPr="0068667F">
        <w:t xml:space="preserve">mehāniska saspiešana vienotā dipolā; </w:t>
      </w:r>
    </w:p>
    <w:p w:rsidR="00AF02B5" w:rsidRPr="0068667F" w:rsidRDefault="001470FE" w:rsidP="00AF02B5">
      <w:pPr>
        <w:ind w:left="0" w:hanging="2"/>
        <w:jc w:val="both"/>
      </w:pPr>
      <w:r w:rsidRPr="0068667F">
        <w:t>3.</w:t>
      </w:r>
      <w:r w:rsidR="009B6A88">
        <w:t xml:space="preserve"> </w:t>
      </w:r>
      <w:r w:rsidRPr="0068667F">
        <w:t>zīm. ir parādīta s</w:t>
      </w:r>
      <w:r w:rsidRPr="0068667F">
        <w:t>amontēta cilindriska magnētiskā dipola shēma, kur 3.a zīm. – šķērsgriezums, 3.b zīm.</w:t>
      </w:r>
      <w:r w:rsidR="009B6A88">
        <w:t xml:space="preserve"> – </w:t>
      </w:r>
      <w:r w:rsidRPr="0068667F">
        <w:t>samontētie minidipoli vienā vienotā dipolā – kopskats;</w:t>
      </w:r>
    </w:p>
    <w:p w:rsidR="00AF02B5" w:rsidRPr="0068667F" w:rsidRDefault="001470FE" w:rsidP="00AF02B5">
      <w:pPr>
        <w:ind w:left="0" w:hanging="2"/>
        <w:jc w:val="both"/>
      </w:pPr>
      <w:r w:rsidRPr="0068667F">
        <w:t>4.</w:t>
      </w:r>
      <w:r w:rsidR="009B6A88">
        <w:t xml:space="preserve"> </w:t>
      </w:r>
      <w:r w:rsidRPr="0068667F">
        <w:t>zīm. ir parādīti magnētiskā lauka indukcijas sadalījuma skaitliskā aprēķina rezultāti cilindriskam dipolam, kas</w:t>
      </w:r>
      <w:r w:rsidRPr="0068667F">
        <w:t xml:space="preserve"> izgatavots no vienlaidu materiāla, un dipola, kas samontēts no atsevišķiem nelieliem pastāvīgajiem magnētiem, analoģiski eksperimentālie dati.</w:t>
      </w:r>
    </w:p>
    <w:p w:rsidR="00AF02B5" w:rsidRPr="0068667F" w:rsidRDefault="00AF02B5" w:rsidP="00AF02B5">
      <w:pPr>
        <w:ind w:left="0" w:hanging="2"/>
        <w:jc w:val="both"/>
      </w:pPr>
    </w:p>
    <w:p w:rsidR="00AF02B5" w:rsidRPr="0068667F" w:rsidRDefault="00AF02B5" w:rsidP="00AF02B5">
      <w:pPr>
        <w:ind w:left="0" w:hanging="2"/>
        <w:jc w:val="center"/>
        <w:rPr>
          <w:b/>
          <w:bCs/>
        </w:rPr>
      </w:pPr>
    </w:p>
    <w:p w:rsidR="00AF02B5" w:rsidRPr="0068667F" w:rsidRDefault="00AF02B5" w:rsidP="00AF02B5">
      <w:pPr>
        <w:ind w:left="0" w:hanging="2"/>
        <w:jc w:val="both"/>
      </w:pPr>
    </w:p>
    <w:tbl>
      <w:tblPr>
        <w:tblStyle w:val="a4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6"/>
        <w:gridCol w:w="2886"/>
        <w:gridCol w:w="3334"/>
      </w:tblGrid>
      <w:tr w:rsidR="009F0F4E" w:rsidTr="00AA1466">
        <w:tc>
          <w:tcPr>
            <w:tcW w:w="2776" w:type="dxa"/>
          </w:tcPr>
          <w:p w:rsidR="00AF02B5" w:rsidRPr="0068667F" w:rsidRDefault="001470FE" w:rsidP="00AA1466">
            <w:pPr>
              <w:spacing w:line="360" w:lineRule="auto"/>
              <w:ind w:left="0" w:hanging="2"/>
              <w:jc w:val="both"/>
            </w:pPr>
            <w:r w:rsidRPr="0068667F">
              <w:rPr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629254</wp:posOffset>
                      </wp:positionH>
                      <wp:positionV relativeFrom="paragraph">
                        <wp:posOffset>1915845</wp:posOffset>
                      </wp:positionV>
                      <wp:extent cx="202007" cy="197547"/>
                      <wp:effectExtent l="0" t="0" r="83820" b="50165"/>
                      <wp:wrapNone/>
                      <wp:docPr id="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2007" cy="197547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" o:spid="_x0000_s1025" type="#_x0000_t32" style="width:15.9pt;height:15.55pt;margin-top:150.85pt;margin-left:49.55pt;mso-height-percent:0;mso-height-relative:margin;mso-width-percent:0;mso-width-relative:margin;mso-wrap-distance-bottom:0;mso-wrap-distance-left:9pt;mso-wrap-distance-right:9pt;mso-wrap-distance-top:0;mso-wrap-style:square;position:absolute;visibility:visible;z-index:251661312" strokecolor="#c00000" strokeweight="1pt">
                      <v:stroke joinstyle="miter" endarrow="open"/>
                    </v:shape>
                  </w:pict>
                </mc:Fallback>
              </mc:AlternateContent>
            </w:r>
            <w:r w:rsidRPr="0068667F">
              <w:rPr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-19685</wp:posOffset>
                  </wp:positionV>
                  <wp:extent cx="1069975" cy="1161415"/>
                  <wp:effectExtent l="0" t="0" r="0" b="635"/>
                  <wp:wrapNone/>
                  <wp:docPr id="2" name="Picture 8" descr="Chart, pi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8" descr="Chart, pie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667F">
              <w:rPr>
                <w:lang w:val="ru-RU"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1200150</wp:posOffset>
                  </wp:positionV>
                  <wp:extent cx="1649743" cy="1344930"/>
                  <wp:effectExtent l="0" t="0" r="7620" b="7620"/>
                  <wp:wrapTight wrapText="bothSides">
                    <wp:wrapPolygon edited="0">
                      <wp:start x="0" y="0"/>
                      <wp:lineTo x="0" y="21416"/>
                      <wp:lineTo x="21450" y="21416"/>
                      <wp:lineTo x="21450" y="0"/>
                      <wp:lineTo x="0" y="0"/>
                    </wp:wrapPolygon>
                  </wp:wrapTight>
                  <wp:docPr id="3" name="Content Placeholder 4" descr="P429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ntent Placeholder 4" descr="P429001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43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9" w:type="dxa"/>
          </w:tcPr>
          <w:p w:rsidR="00AF02B5" w:rsidRPr="0068667F" w:rsidRDefault="001470FE" w:rsidP="00AA1466">
            <w:pPr>
              <w:spacing w:line="360" w:lineRule="auto"/>
              <w:ind w:left="0" w:hanging="2"/>
              <w:jc w:val="both"/>
              <w:rPr>
                <w:highlight w:val="yellow"/>
              </w:rPr>
            </w:pPr>
            <w:r w:rsidRPr="0068667F">
              <w:rPr>
                <w:lang w:val="ru-RU" w:eastAsia="ru-RU"/>
              </w:rPr>
              <w:drawing>
                <wp:inline distT="0" distB="0" distL="0" distR="0">
                  <wp:extent cx="1508072" cy="1333500"/>
                  <wp:effectExtent l="0" t="0" r="0" b="0"/>
                  <wp:docPr id="7" name="Picture 37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7" descr="Diagram, engineering drawing&#10;&#10;Description automatically generated"/>
                          <pic:cNvPicPr/>
                        </pic:nvPicPr>
                        <pic:blipFill>
                          <a:blip r:embed="rId11"/>
                          <a:srcRect l="38101" r="38492" b="50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739" cy="133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8667F">
              <w:rPr>
                <w:lang w:val="ru-RU" w:eastAsia="ru-RU"/>
              </w:rPr>
              <w:drawing>
                <wp:inline distT="0" distB="0" distL="0" distR="0">
                  <wp:extent cx="1690850" cy="1040130"/>
                  <wp:effectExtent l="0" t="0" r="5080" b="7620"/>
                  <wp:docPr id="8" name="Picture 38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8" descr="Diagram, engineering drawing&#10;&#10;Description automatically generated"/>
                          <pic:cNvPicPr/>
                        </pic:nvPicPr>
                        <pic:blipFill>
                          <a:blip r:embed="rId11"/>
                          <a:srcRect l="39058" t="65905" r="38409" b="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430" cy="1046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AF02B5" w:rsidRPr="0068667F" w:rsidRDefault="00AF02B5" w:rsidP="00AA1466">
            <w:pPr>
              <w:spacing w:line="360" w:lineRule="auto"/>
              <w:ind w:left="0" w:hanging="2"/>
              <w:jc w:val="both"/>
            </w:pPr>
          </w:p>
          <w:p w:rsidR="00AF02B5" w:rsidRPr="0068667F" w:rsidRDefault="00AF02B5" w:rsidP="00AA1466">
            <w:pPr>
              <w:spacing w:line="360" w:lineRule="auto"/>
              <w:ind w:left="0" w:hanging="2"/>
              <w:jc w:val="both"/>
            </w:pPr>
          </w:p>
          <w:p w:rsidR="00AF02B5" w:rsidRPr="0068667F" w:rsidRDefault="001470FE" w:rsidP="00AA1466">
            <w:pPr>
              <w:spacing w:line="360" w:lineRule="auto"/>
              <w:ind w:left="0" w:hanging="2"/>
              <w:jc w:val="both"/>
              <w:rPr>
                <w:highlight w:val="yellow"/>
              </w:rPr>
            </w:pPr>
            <w:r w:rsidRPr="0068667F">
              <w:rPr>
                <w:lang w:val="ru-RU" w:eastAsia="ru-RU"/>
              </w:rPr>
              <w:drawing>
                <wp:inline distT="0" distB="0" distL="0" distR="0">
                  <wp:extent cx="1979615" cy="1543050"/>
                  <wp:effectExtent l="0" t="0" r="1905" b="0"/>
                  <wp:docPr id="9" name="Picture 41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5" descr="A picture containing chart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536" cy="1571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F4E" w:rsidTr="00AA1466">
        <w:tc>
          <w:tcPr>
            <w:tcW w:w="2776" w:type="dxa"/>
          </w:tcPr>
          <w:p w:rsidR="00AF02B5" w:rsidRPr="0068667F" w:rsidRDefault="001470FE" w:rsidP="00AA1466">
            <w:pPr>
              <w:spacing w:line="360" w:lineRule="auto"/>
              <w:ind w:left="0" w:hanging="2"/>
              <w:jc w:val="center"/>
              <w:rPr>
                <w:b/>
                <w:bCs/>
              </w:rPr>
            </w:pPr>
            <w:r w:rsidRPr="0068667F">
              <w:rPr>
                <w:b/>
                <w:bCs/>
              </w:rPr>
              <w:t>1.a zīm.</w:t>
            </w:r>
          </w:p>
        </w:tc>
        <w:tc>
          <w:tcPr>
            <w:tcW w:w="2889" w:type="dxa"/>
          </w:tcPr>
          <w:p w:rsidR="00AF02B5" w:rsidRPr="0068667F" w:rsidRDefault="001470FE" w:rsidP="00AA1466">
            <w:pPr>
              <w:spacing w:line="360" w:lineRule="auto"/>
              <w:ind w:left="0" w:hanging="2"/>
              <w:jc w:val="center"/>
              <w:rPr>
                <w:b/>
                <w:bCs/>
              </w:rPr>
            </w:pPr>
            <w:r w:rsidRPr="0068667F">
              <w:rPr>
                <w:b/>
                <w:bCs/>
              </w:rPr>
              <w:t>1.b zīm.</w:t>
            </w:r>
          </w:p>
        </w:tc>
        <w:tc>
          <w:tcPr>
            <w:tcW w:w="3261" w:type="dxa"/>
          </w:tcPr>
          <w:p w:rsidR="00AF02B5" w:rsidRPr="0068667F" w:rsidRDefault="001470FE" w:rsidP="00AA1466">
            <w:pPr>
              <w:spacing w:line="360" w:lineRule="auto"/>
              <w:ind w:left="0" w:hanging="2"/>
              <w:jc w:val="center"/>
              <w:rPr>
                <w:b/>
                <w:bCs/>
              </w:rPr>
            </w:pPr>
            <w:r w:rsidRPr="0068667F">
              <w:rPr>
                <w:b/>
                <w:bCs/>
              </w:rPr>
              <w:t>1.c zīm.</w:t>
            </w:r>
          </w:p>
        </w:tc>
      </w:tr>
    </w:tbl>
    <w:p w:rsidR="00AF02B5" w:rsidRPr="0068667F" w:rsidRDefault="001470FE" w:rsidP="00AF02B5">
      <w:pPr>
        <w:ind w:left="0" w:hanging="2"/>
        <w:jc w:val="center"/>
        <w:rPr>
          <w:b/>
          <w:bCs/>
        </w:rPr>
      </w:pPr>
      <w:r w:rsidRPr="0068667F">
        <w:rPr>
          <w:b/>
          <w:bCs/>
        </w:rPr>
        <w:t>1.</w:t>
      </w:r>
      <w:r w:rsidR="009B6A88">
        <w:rPr>
          <w:b/>
          <w:bCs/>
        </w:rPr>
        <w:t xml:space="preserve"> </w:t>
      </w:r>
      <w:r w:rsidRPr="0068667F">
        <w:rPr>
          <w:b/>
          <w:bCs/>
        </w:rPr>
        <w:t>zīm.</w:t>
      </w:r>
    </w:p>
    <w:p w:rsidR="00AF02B5" w:rsidRPr="0068667F" w:rsidRDefault="001470FE" w:rsidP="00AF02B5">
      <w:pPr>
        <w:ind w:left="0" w:hanging="2"/>
        <w:rPr>
          <w:b/>
          <w:bCs/>
        </w:rPr>
      </w:pPr>
      <w:r w:rsidRPr="0068667F">
        <w:rPr>
          <w:lang w:val="ru-RU" w:eastAsia="ru-RU"/>
        </w:rPr>
        <w:lastRenderedPageBreak/>
        <w:drawing>
          <wp:inline distT="0" distB="0" distL="0" distR="0">
            <wp:extent cx="5876925" cy="7477125"/>
            <wp:effectExtent l="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B5" w:rsidRPr="0068667F" w:rsidRDefault="001470FE" w:rsidP="00AF02B5">
      <w:pPr>
        <w:ind w:left="0" w:hanging="2"/>
        <w:jc w:val="center"/>
        <w:rPr>
          <w:b/>
          <w:bCs/>
        </w:rPr>
      </w:pPr>
      <w:r w:rsidRPr="0068667F">
        <w:rPr>
          <w:b/>
          <w:bCs/>
        </w:rPr>
        <w:t>2.</w:t>
      </w:r>
      <w:r w:rsidR="00A36891">
        <w:rPr>
          <w:b/>
          <w:bCs/>
        </w:rPr>
        <w:t xml:space="preserve"> </w:t>
      </w:r>
      <w:r w:rsidRPr="0068667F">
        <w:rPr>
          <w:b/>
          <w:bCs/>
        </w:rPr>
        <w:t>zīm.</w:t>
      </w:r>
    </w:p>
    <w:p w:rsidR="00AF02B5" w:rsidRPr="0068667F" w:rsidRDefault="00AF02B5" w:rsidP="00AF02B5">
      <w:pPr>
        <w:ind w:left="0" w:hanging="2"/>
        <w:rPr>
          <w:b/>
          <w:bCs/>
        </w:rPr>
      </w:pPr>
    </w:p>
    <w:p w:rsidR="00AF02B5" w:rsidRPr="0068667F" w:rsidRDefault="00AF02B5" w:rsidP="00AF02B5">
      <w:pPr>
        <w:ind w:left="0" w:hanging="2"/>
        <w:rPr>
          <w:b/>
          <w:bCs/>
        </w:rPr>
      </w:pPr>
    </w:p>
    <w:p w:rsidR="00AF02B5" w:rsidRPr="0068667F" w:rsidRDefault="001470FE" w:rsidP="00AF02B5">
      <w:pPr>
        <w:ind w:left="0" w:hanging="2"/>
        <w:rPr>
          <w:b/>
          <w:bCs/>
        </w:rPr>
      </w:pPr>
      <w:r w:rsidRPr="0068667F">
        <w:rPr>
          <w:lang w:val="ru-RU" w:eastAsia="ru-RU"/>
        </w:rPr>
        <w:lastRenderedPageBreak/>
        <w:drawing>
          <wp:inline distT="0" distB="0" distL="0" distR="0">
            <wp:extent cx="5734050" cy="6315075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B5" w:rsidRPr="0068667F" w:rsidRDefault="001470FE" w:rsidP="00AF02B5">
      <w:pPr>
        <w:ind w:left="0" w:hanging="2"/>
        <w:jc w:val="center"/>
        <w:rPr>
          <w:b/>
          <w:bCs/>
        </w:rPr>
      </w:pPr>
      <w:r w:rsidRPr="0068667F">
        <w:rPr>
          <w:b/>
          <w:bCs/>
        </w:rPr>
        <w:t>3.</w:t>
      </w:r>
      <w:r w:rsidR="00A36891">
        <w:rPr>
          <w:b/>
          <w:bCs/>
        </w:rPr>
        <w:t xml:space="preserve"> </w:t>
      </w:r>
      <w:r w:rsidRPr="0068667F">
        <w:rPr>
          <w:b/>
          <w:bCs/>
        </w:rPr>
        <w:t>zīm.</w:t>
      </w:r>
    </w:p>
    <w:p w:rsidR="00AF02B5" w:rsidRPr="0068667F" w:rsidRDefault="00AF02B5" w:rsidP="00AF02B5">
      <w:pPr>
        <w:ind w:left="0" w:hanging="2"/>
        <w:rPr>
          <w:b/>
          <w:bCs/>
        </w:rPr>
      </w:pPr>
    </w:p>
    <w:p w:rsidR="00AF02B5" w:rsidRPr="0068667F" w:rsidRDefault="001470FE" w:rsidP="00AF02B5">
      <w:pPr>
        <w:ind w:left="0" w:hanging="2"/>
        <w:rPr>
          <w:b/>
          <w:bCs/>
        </w:rPr>
      </w:pPr>
      <w:r w:rsidRPr="0068667F">
        <w:rPr>
          <w:b/>
          <w:bCs/>
          <w:lang w:val="ru-RU" w:eastAsia="ru-RU"/>
        </w:rPr>
        <w:lastRenderedPageBreak/>
        <w:drawing>
          <wp:inline distT="0" distB="0" distL="0" distR="0">
            <wp:extent cx="6230620" cy="4139565"/>
            <wp:effectExtent l="0" t="0" r="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413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2B5" w:rsidRPr="0068667F" w:rsidRDefault="001470FE" w:rsidP="00AF02B5">
      <w:pPr>
        <w:ind w:left="0" w:hanging="2"/>
        <w:jc w:val="center"/>
        <w:rPr>
          <w:b/>
          <w:bCs/>
        </w:rPr>
      </w:pPr>
      <w:r w:rsidRPr="0068667F">
        <w:rPr>
          <w:b/>
          <w:bCs/>
        </w:rPr>
        <w:t>4.zīm.</w:t>
      </w:r>
    </w:p>
    <w:p w:rsidR="00AF02B5" w:rsidRPr="0068667F" w:rsidRDefault="00AF02B5" w:rsidP="00AF02B5">
      <w:pPr>
        <w:ind w:left="0" w:hanging="2"/>
        <w:rPr>
          <w:b/>
          <w:bCs/>
        </w:rPr>
      </w:pPr>
    </w:p>
    <w:p w:rsidR="00AF02B5" w:rsidRPr="0068667F" w:rsidRDefault="001470FE" w:rsidP="00AF02B5">
      <w:pPr>
        <w:ind w:left="0" w:hanging="2"/>
      </w:pPr>
      <w:r w:rsidRPr="0068667F">
        <w:rPr>
          <w:b/>
          <w:bCs/>
        </w:rPr>
        <w:t xml:space="preserve">INTELEKTUĀLĀ ĪPAŠUMA </w:t>
      </w:r>
      <w:r w:rsidRPr="0068667F">
        <w:rPr>
          <w:b/>
          <w:bCs/>
        </w:rPr>
        <w:t>AIZSARDZĪBA:</w:t>
      </w:r>
      <w:r w:rsidRPr="0068667F">
        <w:t xml:space="preserve"> </w:t>
      </w:r>
    </w:p>
    <w:p w:rsidR="00AF02B5" w:rsidRPr="0068667F" w:rsidRDefault="001470FE" w:rsidP="00AF02B5">
      <w:pPr>
        <w:pStyle w:val="a5"/>
        <w:ind w:left="0" w:hanging="2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68667F">
        <w:rPr>
          <w:rFonts w:ascii="Times New Roman" w:hAnsi="Times New Roman" w:cs="Times New Roman"/>
          <w:sz w:val="24"/>
          <w:szCs w:val="24"/>
          <w:lang w:val="lv-LV"/>
        </w:rPr>
        <w:t>Latvijas patenta pieteikums Nr. LVP2022000058</w:t>
      </w:r>
      <w:r w:rsidRPr="0068667F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 xml:space="preserve"> </w:t>
      </w:r>
      <w:r w:rsidRPr="0068667F">
        <w:rPr>
          <w:rFonts w:ascii="Times New Roman" w:hAnsi="Times New Roman" w:cs="Times New Roman"/>
          <w:sz w:val="24"/>
          <w:szCs w:val="24"/>
          <w:lang w:val="lv-LV"/>
        </w:rPr>
        <w:t>"</w:t>
      </w:r>
      <w:r w:rsidRPr="0068667F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Paņēmiens liela diametra un apjoma cilindrisku magnētisko dipolu izgatavošanai</w:t>
      </w:r>
      <w:r w:rsidRPr="0068667F">
        <w:rPr>
          <w:rFonts w:ascii="Times New Roman" w:hAnsi="Times New Roman" w:cs="Times New Roman"/>
          <w:sz w:val="24"/>
          <w:szCs w:val="24"/>
          <w:lang w:val="lv-LV"/>
        </w:rPr>
        <w:t>" (turpmāk</w:t>
      </w:r>
      <w:r w:rsidR="00FE2E48">
        <w:rPr>
          <w:rFonts w:ascii="Times New Roman" w:hAnsi="Times New Roman" w:cs="Times New Roman"/>
          <w:sz w:val="24"/>
          <w:szCs w:val="24"/>
          <w:lang w:val="lv-LV"/>
        </w:rPr>
        <w:t xml:space="preserve"> – </w:t>
      </w:r>
      <w:r w:rsidRPr="0068667F">
        <w:rPr>
          <w:rFonts w:ascii="Times New Roman" w:hAnsi="Times New Roman" w:cs="Times New Roman"/>
          <w:sz w:val="24"/>
          <w:szCs w:val="24"/>
          <w:lang w:val="lv-LV"/>
        </w:rPr>
        <w:t>patenta pieteikums).</w:t>
      </w:r>
    </w:p>
    <w:p w:rsidR="00AF02B5" w:rsidRPr="0068667F" w:rsidRDefault="00AF02B5" w:rsidP="00AF02B5">
      <w:pPr>
        <w:pStyle w:val="a5"/>
        <w:ind w:left="0" w:hanging="2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:rsidR="00AF02B5" w:rsidRPr="0068667F" w:rsidRDefault="001470FE" w:rsidP="00AF02B5">
      <w:pPr>
        <w:ind w:left="0" w:hanging="2"/>
        <w:rPr>
          <w:b/>
          <w:bCs/>
        </w:rPr>
      </w:pPr>
      <w:r w:rsidRPr="0068667F">
        <w:rPr>
          <w:b/>
          <w:bCs/>
        </w:rPr>
        <w:t>PAPILDU INFORMĀCIJA:</w:t>
      </w:r>
    </w:p>
    <w:p w:rsidR="00AF02B5" w:rsidRPr="0068667F" w:rsidRDefault="001470FE" w:rsidP="00AF02B5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ind w:left="0" w:hanging="2"/>
        <w:jc w:val="both"/>
        <w:outlineLvl w:val="2"/>
        <w:rPr>
          <w:rFonts w:ascii="Times New Roman" w:hAnsi="Times New Roman" w:cs="Times New Roman"/>
          <w:sz w:val="24"/>
          <w:szCs w:val="24"/>
          <w:lang w:val="lv-LV"/>
        </w:rPr>
      </w:pPr>
      <w:r w:rsidRPr="0068667F">
        <w:rPr>
          <w:rFonts w:ascii="Times New Roman" w:hAnsi="Times New Roman" w:cs="Times New Roman"/>
          <w:sz w:val="24"/>
          <w:szCs w:val="24"/>
          <w:lang w:val="lv-LV"/>
        </w:rPr>
        <w:t>Produkts – liela mēroga cilindrisko magnētisko dipolu sistēma</w:t>
      </w:r>
      <w:r w:rsidRPr="0068667F">
        <w:rPr>
          <w:rFonts w:ascii="Times New Roman" w:hAnsi="Times New Roman" w:cs="Times New Roman"/>
          <w:sz w:val="24"/>
          <w:szCs w:val="24"/>
          <w:lang w:val="lv-LV"/>
        </w:rPr>
        <w:t>;</w:t>
      </w:r>
    </w:p>
    <w:p w:rsidR="00AF02B5" w:rsidRPr="0068667F" w:rsidRDefault="001470FE" w:rsidP="00AF02B5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ind w:left="0" w:hanging="2"/>
        <w:jc w:val="both"/>
        <w:outlineLvl w:val="2"/>
        <w:rPr>
          <w:rFonts w:ascii="Times New Roman" w:hAnsi="Times New Roman" w:cs="Times New Roman"/>
          <w:sz w:val="24"/>
          <w:szCs w:val="24"/>
          <w:lang w:val="lv-LV"/>
        </w:rPr>
      </w:pPr>
      <w:r w:rsidRPr="0068667F">
        <w:rPr>
          <w:rFonts w:ascii="Times New Roman" w:hAnsi="Times New Roman" w:cs="Times New Roman"/>
          <w:sz w:val="24"/>
          <w:szCs w:val="24"/>
          <w:lang w:val="lv-LV"/>
        </w:rPr>
        <w:t>Viena produkta izgatavošanas izmaksas (pašizmaksa) ir</w:t>
      </w:r>
      <w:r w:rsidR="00FE2E48">
        <w:rPr>
          <w:rFonts w:ascii="Times New Roman" w:hAnsi="Times New Roman" w:cs="Times New Roman"/>
          <w:sz w:val="24"/>
          <w:szCs w:val="24"/>
          <w:lang w:val="lv-LV"/>
        </w:rPr>
        <w:t>,</w:t>
      </w:r>
      <w:r w:rsidRPr="0068667F">
        <w:rPr>
          <w:rFonts w:ascii="Times New Roman" w:hAnsi="Times New Roman" w:cs="Times New Roman"/>
          <w:sz w:val="24"/>
          <w:szCs w:val="24"/>
          <w:lang w:val="lv-LV"/>
        </w:rPr>
        <w:t xml:space="preserve"> sākot no 80035,00 eiro maza izmēra iekārtai, kas varētu būt paredzēta, piemēram</w:t>
      </w:r>
      <w:r w:rsidR="00FE2E48">
        <w:rPr>
          <w:rFonts w:ascii="Times New Roman" w:hAnsi="Times New Roman" w:cs="Times New Roman"/>
          <w:sz w:val="24"/>
          <w:szCs w:val="24"/>
          <w:lang w:val="lv-LV"/>
        </w:rPr>
        <w:t>,</w:t>
      </w:r>
      <w:r w:rsidRPr="0068667F">
        <w:rPr>
          <w:rFonts w:ascii="Times New Roman" w:hAnsi="Times New Roman" w:cs="Times New Roman"/>
          <w:sz w:val="24"/>
          <w:szCs w:val="24"/>
          <w:lang w:val="lv-LV"/>
        </w:rPr>
        <w:t xml:space="preserve"> 500 kg-1 tonnai; lielāka mēroga iekārtas pašizmaksa līdz pat 500 000 EUR (mēroga sistēmas 50-100</w:t>
      </w:r>
      <w:r w:rsidR="00FE2E48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68667F">
        <w:rPr>
          <w:rFonts w:ascii="Times New Roman" w:hAnsi="Times New Roman" w:cs="Times New Roman"/>
          <w:sz w:val="24"/>
          <w:szCs w:val="24"/>
          <w:lang w:val="lv-LV"/>
        </w:rPr>
        <w:t xml:space="preserve">t krāsnīm ar sienu </w:t>
      </w:r>
      <w:r w:rsidRPr="0068667F">
        <w:rPr>
          <w:rFonts w:ascii="Times New Roman" w:hAnsi="Times New Roman" w:cs="Times New Roman"/>
          <w:sz w:val="24"/>
          <w:szCs w:val="24"/>
          <w:lang w:val="lv-LV"/>
        </w:rPr>
        <w:t>biezumu 45-55</w:t>
      </w:r>
      <w:r w:rsidR="00FE2E48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68667F">
        <w:rPr>
          <w:rFonts w:ascii="Times New Roman" w:hAnsi="Times New Roman" w:cs="Times New Roman"/>
          <w:sz w:val="24"/>
          <w:szCs w:val="24"/>
          <w:lang w:val="lv-LV"/>
        </w:rPr>
        <w:t>cm);</w:t>
      </w:r>
    </w:p>
    <w:p w:rsidR="00AF02B5" w:rsidRPr="0068667F" w:rsidRDefault="001470FE" w:rsidP="00AF02B5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ind w:left="0" w:hanging="2"/>
        <w:jc w:val="both"/>
        <w:outlineLvl w:val="2"/>
        <w:rPr>
          <w:rFonts w:ascii="Times New Roman" w:hAnsi="Times New Roman" w:cs="Times New Roman"/>
          <w:sz w:val="24"/>
          <w:szCs w:val="24"/>
          <w:lang w:val="lv-LV"/>
        </w:rPr>
      </w:pPr>
      <w:r w:rsidRPr="0068667F">
        <w:rPr>
          <w:rFonts w:ascii="Times New Roman" w:hAnsi="Times New Roman" w:cs="Times New Roman"/>
          <w:sz w:val="24"/>
          <w:szCs w:val="24"/>
          <w:lang w:val="lv-LV"/>
        </w:rPr>
        <w:t>Iekārtas potenciālā pārdošanas cena ne mazāk</w:t>
      </w:r>
      <w:r w:rsidR="00FE2E48">
        <w:rPr>
          <w:rFonts w:ascii="Times New Roman" w:hAnsi="Times New Roman" w:cs="Times New Roman"/>
          <w:sz w:val="24"/>
          <w:szCs w:val="24"/>
          <w:lang w:val="lv-LV"/>
        </w:rPr>
        <w:t>a</w:t>
      </w:r>
      <w:r w:rsidRPr="0068667F">
        <w:rPr>
          <w:rFonts w:ascii="Times New Roman" w:hAnsi="Times New Roman" w:cs="Times New Roman"/>
          <w:sz w:val="24"/>
          <w:szCs w:val="24"/>
          <w:lang w:val="lv-LV"/>
        </w:rPr>
        <w:t xml:space="preserve"> kā 84500,00 eiro.</w:t>
      </w:r>
    </w:p>
    <w:p w:rsidR="00AF02B5" w:rsidRPr="0068667F" w:rsidRDefault="001470FE" w:rsidP="001470FE">
      <w:pPr>
        <w:ind w:left="0" w:hanging="2"/>
        <w:jc w:val="both"/>
      </w:pPr>
      <w:r w:rsidRPr="0068667F">
        <w:rPr>
          <w:b/>
          <w:bCs/>
        </w:rPr>
        <w:t>INTELEKTUĀLĀ ĪPAŠUMA DOKUMENTĀCIJA</w:t>
      </w:r>
      <w:r w:rsidRPr="0068667F">
        <w:t>, kurā ietilpst Patenta pieteikuma izmantošanas tiesības un tehniskā dokumentācija.</w:t>
      </w:r>
      <w:bookmarkStart w:id="0" w:name="_GoBack"/>
      <w:bookmarkEnd w:id="0"/>
    </w:p>
    <w:sectPr w:rsidR="00AF02B5" w:rsidRPr="0068667F" w:rsidSect="00220C5D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95CC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F4E60C2"/>
    <w:multiLevelType w:val="multilevel"/>
    <w:tmpl w:val="E1BECEA2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CE5FA2"/>
    <w:multiLevelType w:val="multilevel"/>
    <w:tmpl w:val="E05602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B04136B"/>
    <w:multiLevelType w:val="multilevel"/>
    <w:tmpl w:val="8B1C5B84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D85871"/>
    <w:multiLevelType w:val="hybridMultilevel"/>
    <w:tmpl w:val="E5081C96"/>
    <w:lvl w:ilvl="0" w:tplc="F3A49418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C4E61CAE" w:tentative="1">
      <w:start w:val="1"/>
      <w:numFmt w:val="lowerLetter"/>
      <w:lvlText w:val="%2."/>
      <w:lvlJc w:val="left"/>
      <w:pPr>
        <w:ind w:left="1078" w:hanging="360"/>
      </w:pPr>
    </w:lvl>
    <w:lvl w:ilvl="2" w:tplc="946214AA" w:tentative="1">
      <w:start w:val="1"/>
      <w:numFmt w:val="lowerRoman"/>
      <w:lvlText w:val="%3."/>
      <w:lvlJc w:val="right"/>
      <w:pPr>
        <w:ind w:left="1798" w:hanging="180"/>
      </w:pPr>
    </w:lvl>
    <w:lvl w:ilvl="3" w:tplc="14567C70" w:tentative="1">
      <w:start w:val="1"/>
      <w:numFmt w:val="decimal"/>
      <w:lvlText w:val="%4."/>
      <w:lvlJc w:val="left"/>
      <w:pPr>
        <w:ind w:left="2518" w:hanging="360"/>
      </w:pPr>
    </w:lvl>
    <w:lvl w:ilvl="4" w:tplc="66E85196" w:tentative="1">
      <w:start w:val="1"/>
      <w:numFmt w:val="lowerLetter"/>
      <w:lvlText w:val="%5."/>
      <w:lvlJc w:val="left"/>
      <w:pPr>
        <w:ind w:left="3238" w:hanging="360"/>
      </w:pPr>
    </w:lvl>
    <w:lvl w:ilvl="5" w:tplc="578A9AB6" w:tentative="1">
      <w:start w:val="1"/>
      <w:numFmt w:val="lowerRoman"/>
      <w:lvlText w:val="%6."/>
      <w:lvlJc w:val="right"/>
      <w:pPr>
        <w:ind w:left="3958" w:hanging="180"/>
      </w:pPr>
    </w:lvl>
    <w:lvl w:ilvl="6" w:tplc="BDCE00D4" w:tentative="1">
      <w:start w:val="1"/>
      <w:numFmt w:val="decimal"/>
      <w:lvlText w:val="%7."/>
      <w:lvlJc w:val="left"/>
      <w:pPr>
        <w:ind w:left="4678" w:hanging="360"/>
      </w:pPr>
    </w:lvl>
    <w:lvl w:ilvl="7" w:tplc="3FAE8A2C" w:tentative="1">
      <w:start w:val="1"/>
      <w:numFmt w:val="lowerLetter"/>
      <w:lvlText w:val="%8."/>
      <w:lvlJc w:val="left"/>
      <w:pPr>
        <w:ind w:left="5398" w:hanging="360"/>
      </w:pPr>
    </w:lvl>
    <w:lvl w:ilvl="8" w:tplc="5CC0B31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402E58FA"/>
    <w:multiLevelType w:val="hybridMultilevel"/>
    <w:tmpl w:val="8D4E5EFE"/>
    <w:lvl w:ilvl="0" w:tplc="9DE0400E">
      <w:start w:val="1"/>
      <w:numFmt w:val="decimal"/>
      <w:lvlText w:val="%1."/>
      <w:lvlJc w:val="left"/>
      <w:pPr>
        <w:ind w:left="718" w:hanging="360"/>
      </w:pPr>
    </w:lvl>
    <w:lvl w:ilvl="1" w:tplc="E7EAAB10" w:tentative="1">
      <w:start w:val="1"/>
      <w:numFmt w:val="lowerLetter"/>
      <w:lvlText w:val="%2."/>
      <w:lvlJc w:val="left"/>
      <w:pPr>
        <w:ind w:left="1438" w:hanging="360"/>
      </w:pPr>
    </w:lvl>
    <w:lvl w:ilvl="2" w:tplc="2EFE240C" w:tentative="1">
      <w:start w:val="1"/>
      <w:numFmt w:val="lowerRoman"/>
      <w:lvlText w:val="%3."/>
      <w:lvlJc w:val="right"/>
      <w:pPr>
        <w:ind w:left="2158" w:hanging="180"/>
      </w:pPr>
    </w:lvl>
    <w:lvl w:ilvl="3" w:tplc="33C440B2" w:tentative="1">
      <w:start w:val="1"/>
      <w:numFmt w:val="decimal"/>
      <w:lvlText w:val="%4."/>
      <w:lvlJc w:val="left"/>
      <w:pPr>
        <w:ind w:left="2878" w:hanging="360"/>
      </w:pPr>
    </w:lvl>
    <w:lvl w:ilvl="4" w:tplc="62E0C9C2" w:tentative="1">
      <w:start w:val="1"/>
      <w:numFmt w:val="lowerLetter"/>
      <w:lvlText w:val="%5."/>
      <w:lvlJc w:val="left"/>
      <w:pPr>
        <w:ind w:left="3598" w:hanging="360"/>
      </w:pPr>
    </w:lvl>
    <w:lvl w:ilvl="5" w:tplc="D3C6065A" w:tentative="1">
      <w:start w:val="1"/>
      <w:numFmt w:val="lowerRoman"/>
      <w:lvlText w:val="%6."/>
      <w:lvlJc w:val="right"/>
      <w:pPr>
        <w:ind w:left="4318" w:hanging="180"/>
      </w:pPr>
    </w:lvl>
    <w:lvl w:ilvl="6" w:tplc="EA2AD6AE" w:tentative="1">
      <w:start w:val="1"/>
      <w:numFmt w:val="decimal"/>
      <w:lvlText w:val="%7."/>
      <w:lvlJc w:val="left"/>
      <w:pPr>
        <w:ind w:left="5038" w:hanging="360"/>
      </w:pPr>
    </w:lvl>
    <w:lvl w:ilvl="7" w:tplc="8F1A5DD0" w:tentative="1">
      <w:start w:val="1"/>
      <w:numFmt w:val="lowerLetter"/>
      <w:lvlText w:val="%8."/>
      <w:lvlJc w:val="left"/>
      <w:pPr>
        <w:ind w:left="5758" w:hanging="360"/>
      </w:pPr>
    </w:lvl>
    <w:lvl w:ilvl="8" w:tplc="7BA03314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6" w15:restartNumberingAfterBreak="0">
    <w:nsid w:val="60C0000A"/>
    <w:multiLevelType w:val="multilevel"/>
    <w:tmpl w:val="5498A7AE"/>
    <w:lvl w:ilvl="0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898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58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AFE"/>
    <w:rsid w:val="001470FE"/>
    <w:rsid w:val="001D4D2A"/>
    <w:rsid w:val="002033C3"/>
    <w:rsid w:val="00220C5D"/>
    <w:rsid w:val="0022441D"/>
    <w:rsid w:val="002F0048"/>
    <w:rsid w:val="002F5453"/>
    <w:rsid w:val="0039580C"/>
    <w:rsid w:val="003A3587"/>
    <w:rsid w:val="003C54AC"/>
    <w:rsid w:val="003D2402"/>
    <w:rsid w:val="003E351B"/>
    <w:rsid w:val="0044382D"/>
    <w:rsid w:val="004A1122"/>
    <w:rsid w:val="00531618"/>
    <w:rsid w:val="00557573"/>
    <w:rsid w:val="00573842"/>
    <w:rsid w:val="005877DD"/>
    <w:rsid w:val="00627AFE"/>
    <w:rsid w:val="0068667F"/>
    <w:rsid w:val="006A35D3"/>
    <w:rsid w:val="006B3AE1"/>
    <w:rsid w:val="006D1F06"/>
    <w:rsid w:val="006E7C43"/>
    <w:rsid w:val="00850D45"/>
    <w:rsid w:val="009368B9"/>
    <w:rsid w:val="009A6AB1"/>
    <w:rsid w:val="009B6A88"/>
    <w:rsid w:val="009F0F4E"/>
    <w:rsid w:val="00A36891"/>
    <w:rsid w:val="00AA1466"/>
    <w:rsid w:val="00AA230A"/>
    <w:rsid w:val="00AA7254"/>
    <w:rsid w:val="00AF02B5"/>
    <w:rsid w:val="00B10CC6"/>
    <w:rsid w:val="00B45F35"/>
    <w:rsid w:val="00BD783F"/>
    <w:rsid w:val="00C1202D"/>
    <w:rsid w:val="00CC2F28"/>
    <w:rsid w:val="00D002F1"/>
    <w:rsid w:val="00D5341E"/>
    <w:rsid w:val="00D75FA2"/>
    <w:rsid w:val="00E714F7"/>
    <w:rsid w:val="00ED55B0"/>
    <w:rsid w:val="00FE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43C5F"/>
  <w15:chartTrackingRefBased/>
  <w15:docId w15:val="{9B98BF94-0092-492B-A378-9BA96CC45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27AFE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noProof/>
      <w:position w:val="-1"/>
      <w:sz w:val="24"/>
      <w:szCs w:val="24"/>
      <w:lang w:val="lv-LV" w:eastAsia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02B5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AF02B5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aliases w:val="2,Bullet list,Colorful List - Accent 11,H&amp;P List Paragraph,List Paragraph1,List Paragraph11,Normal bullet 2,Numurets,PPS_Bullet,Saistīto dokumentu saraksts,Syle 1"/>
    <w:basedOn w:val="a"/>
    <w:link w:val="a6"/>
    <w:uiPriority w:val="34"/>
    <w:qFormat/>
    <w:rsid w:val="00AF02B5"/>
    <w:pPr>
      <w:suppressAutoHyphens w:val="0"/>
      <w:spacing w:after="160" w:line="259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Theme="minorHAnsi" w:eastAsiaTheme="minorHAnsi" w:hAnsiTheme="minorHAnsi" w:cstheme="minorBidi"/>
      <w:position w:val="0"/>
      <w:sz w:val="22"/>
      <w:szCs w:val="22"/>
      <w:lang w:val="ru-RU" w:eastAsia="en-US"/>
    </w:rPr>
  </w:style>
  <w:style w:type="character" w:customStyle="1" w:styleId="a6">
    <w:name w:val="Абзац списка Знак"/>
    <w:aliases w:val="2 Знак,Bullet list Знак,Colorful List - Accent 11 Знак,H&amp;P List Paragraph Знак,List Paragraph1 Знак,List Paragraph11 Знак,Normal bullet 2 Знак,Numurets Знак,PPS_Bullet Знак,Saistīto dokumentu saraksts Знак,Syle 1 Знак"/>
    <w:link w:val="a5"/>
    <w:uiPriority w:val="34"/>
    <w:locked/>
    <w:rsid w:val="00AF02B5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nts.rieksts@lu.lv" TargetMode="Externa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yperlink" Target="mailto:toms.beinerts@lu.lv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toms.beinerts@lu.lv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jurijs.gelfgats@lu.lv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1089</Words>
  <Characters>6208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 Leitāne</dc:creator>
  <cp:lastModifiedBy>Olga Dmitrijeva</cp:lastModifiedBy>
  <cp:revision>2</cp:revision>
  <dcterms:created xsi:type="dcterms:W3CDTF">2022-12-07T15:29:00Z</dcterms:created>
  <dcterms:modified xsi:type="dcterms:W3CDTF">2022-12-07T15:29:00Z</dcterms:modified>
</cp:coreProperties>
</file>