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17DDC" w14:textId="77777777" w:rsidR="0041169F" w:rsidRPr="004D60B8" w:rsidRDefault="00000000" w:rsidP="0041169F">
      <w:pPr>
        <w:spacing w:after="120" w:line="240" w:lineRule="auto"/>
        <w:ind w:right="-1"/>
        <w:rPr>
          <w:rFonts w:ascii="Times New Roman" w:hAnsi="Times New Roman" w:cs="Times New Roman"/>
          <w:noProof/>
        </w:rPr>
      </w:pPr>
      <w:r>
        <w:rPr>
          <w:rFonts w:ascii="Times New Roman" w:hAnsi="Times New Roman" w:cs="Times New Roman"/>
          <w:noProof/>
        </w:rPr>
        <w:t xml:space="preserve"> </w:t>
      </w:r>
    </w:p>
    <w:p w14:paraId="528616CB" w14:textId="77777777" w:rsidR="0041169F" w:rsidRPr="004D60B8" w:rsidRDefault="0041169F" w:rsidP="0041169F">
      <w:pPr>
        <w:spacing w:after="120" w:line="240" w:lineRule="auto"/>
        <w:ind w:right="-1"/>
        <w:rPr>
          <w:rFonts w:ascii="Times New Roman" w:hAnsi="Times New Roman" w:cs="Times New Roman"/>
          <w:noProof/>
        </w:rPr>
      </w:pPr>
    </w:p>
    <w:p w14:paraId="7D255A96" w14:textId="77777777" w:rsidR="0041169F" w:rsidRPr="004D60B8" w:rsidRDefault="0041169F" w:rsidP="0041169F">
      <w:pPr>
        <w:spacing w:after="120" w:line="240" w:lineRule="auto"/>
        <w:ind w:right="-1"/>
        <w:rPr>
          <w:rFonts w:ascii="Times New Roman" w:hAnsi="Times New Roman" w:cs="Times New Roman"/>
          <w:noProof/>
        </w:rPr>
      </w:pPr>
    </w:p>
    <w:p w14:paraId="1D111B77" w14:textId="77777777" w:rsidR="0041169F" w:rsidRPr="004D60B8" w:rsidRDefault="0041169F" w:rsidP="0041169F">
      <w:pPr>
        <w:spacing w:after="120" w:line="240" w:lineRule="auto"/>
        <w:ind w:right="-1"/>
        <w:rPr>
          <w:rFonts w:ascii="Times New Roman" w:hAnsi="Times New Roman" w:cs="Times New Roman"/>
          <w:noProof/>
        </w:rPr>
      </w:pPr>
    </w:p>
    <w:p w14:paraId="34575828" w14:textId="77777777" w:rsidR="0041169F" w:rsidRPr="004D60B8" w:rsidRDefault="0041169F" w:rsidP="0041169F">
      <w:pPr>
        <w:spacing w:after="120" w:line="240" w:lineRule="auto"/>
        <w:ind w:right="-1"/>
        <w:rPr>
          <w:rFonts w:ascii="Times New Roman" w:hAnsi="Times New Roman" w:cs="Times New Roman"/>
          <w:noProof/>
        </w:rPr>
      </w:pPr>
    </w:p>
    <w:p w14:paraId="15DDCBA7" w14:textId="77777777" w:rsidR="00CD3BC4" w:rsidRDefault="00CD3BC4" w:rsidP="00CD3BC4">
      <w:pPr>
        <w:spacing w:after="120" w:line="240" w:lineRule="auto"/>
        <w:ind w:right="-1"/>
        <w:jc w:val="right"/>
        <w:rPr>
          <w:rFonts w:ascii="Times New Roman" w:hAnsi="Times New Roman" w:cs="Times New Roman"/>
          <w:noProof/>
        </w:rPr>
      </w:pPr>
    </w:p>
    <w:p w14:paraId="78DA8654" w14:textId="77777777" w:rsidR="0041169F" w:rsidRDefault="00000000" w:rsidP="00CD3BC4">
      <w:pPr>
        <w:spacing w:after="120" w:line="240" w:lineRule="auto"/>
        <w:ind w:right="-1"/>
        <w:jc w:val="right"/>
        <w:rPr>
          <w:rFonts w:ascii="Times New Roman" w:hAnsi="Times New Roman" w:cs="Times New Roman"/>
          <w:noProof/>
        </w:rPr>
      </w:pPr>
      <w:r>
        <w:rPr>
          <w:rFonts w:ascii="Times New Roman" w:hAnsi="Times New Roman" w:cs="Times New Roman"/>
          <w:noProof/>
        </w:rPr>
        <w:t>APSTIPRINĀTS</w:t>
      </w:r>
    </w:p>
    <w:p w14:paraId="72603B59" w14:textId="20AF40E4" w:rsidR="009F1797" w:rsidRPr="004D60B8" w:rsidRDefault="00DA4D95" w:rsidP="00DA4D95">
      <w:pPr>
        <w:spacing w:after="120" w:line="240" w:lineRule="auto"/>
        <w:ind w:right="-1"/>
        <w:jc w:val="center"/>
        <w:rPr>
          <w:rFonts w:ascii="Times New Roman" w:hAnsi="Times New Roman" w:cs="Times New Roman"/>
          <w:noProof/>
        </w:rPr>
      </w:pPr>
      <w:r>
        <w:rPr>
          <w:rFonts w:ascii="Times New Roman" w:hAnsi="Times New Roman" w:cs="Times New Roman"/>
          <w:szCs w:val="24"/>
        </w:rPr>
        <w:t xml:space="preserve">                                                                                 </w:t>
      </w:r>
      <w:r w:rsidR="00000000">
        <w:rPr>
          <w:rFonts w:ascii="Times New Roman" w:hAnsi="Times New Roman" w:cs="Times New Roman"/>
          <w:szCs w:val="24"/>
        </w:rPr>
        <w:t xml:space="preserve">LU Senāta </w:t>
      </w:r>
      <w:r>
        <w:rPr>
          <w:rFonts w:ascii="Times New Roman" w:hAnsi="Times New Roman" w:cs="Times New Roman"/>
          <w:noProof/>
          <w:szCs w:val="24"/>
        </w:rPr>
        <w:t xml:space="preserve">24.02.2025. </w:t>
      </w:r>
    </w:p>
    <w:tbl>
      <w:tblPr>
        <w:tblStyle w:val="TableGrid"/>
        <w:tblW w:w="9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
        <w:gridCol w:w="4944"/>
        <w:gridCol w:w="1418"/>
        <w:gridCol w:w="2696"/>
      </w:tblGrid>
      <w:tr w:rsidR="002B4A8B" w14:paraId="04E870E1" w14:textId="77777777" w:rsidTr="00CD3BC4">
        <w:tc>
          <w:tcPr>
            <w:tcW w:w="726" w:type="dxa"/>
          </w:tcPr>
          <w:p w14:paraId="70D1C8D4" w14:textId="77777777" w:rsidR="0041169F" w:rsidRPr="004D60B8" w:rsidRDefault="0041169F" w:rsidP="00C12725">
            <w:pPr>
              <w:rPr>
                <w:rFonts w:ascii="Times New Roman" w:hAnsi="Times New Roman" w:cs="Times New Roman"/>
                <w:noProof/>
                <w:szCs w:val="24"/>
              </w:rPr>
            </w:pPr>
          </w:p>
        </w:tc>
        <w:tc>
          <w:tcPr>
            <w:tcW w:w="4944" w:type="dxa"/>
          </w:tcPr>
          <w:p w14:paraId="3B1264D4" w14:textId="77777777" w:rsidR="0041169F" w:rsidRPr="004D60B8" w:rsidRDefault="0041169F" w:rsidP="0041169F">
            <w:pPr>
              <w:ind w:right="-114"/>
              <w:rPr>
                <w:rFonts w:ascii="Times New Roman" w:hAnsi="Times New Roman" w:cs="Times New Roman"/>
                <w:noProof/>
                <w:szCs w:val="24"/>
              </w:rPr>
            </w:pPr>
          </w:p>
        </w:tc>
        <w:tc>
          <w:tcPr>
            <w:tcW w:w="1418" w:type="dxa"/>
          </w:tcPr>
          <w:p w14:paraId="4BB2DD93" w14:textId="77777777" w:rsidR="0041169F" w:rsidRPr="004D60B8" w:rsidRDefault="00000000" w:rsidP="00CD3BC4">
            <w:pPr>
              <w:ind w:right="-2"/>
              <w:jc w:val="right"/>
              <w:rPr>
                <w:rFonts w:ascii="Times New Roman" w:hAnsi="Times New Roman" w:cs="Times New Roman"/>
                <w:noProof/>
                <w:szCs w:val="24"/>
              </w:rPr>
            </w:pPr>
            <w:r>
              <w:rPr>
                <w:rFonts w:ascii="Times New Roman" w:hAnsi="Times New Roman" w:cs="Times New Roman"/>
                <w:noProof/>
                <w:szCs w:val="24"/>
              </w:rPr>
              <w:t xml:space="preserve">lēmums </w:t>
            </w:r>
            <w:r w:rsidR="0030092E" w:rsidRPr="004D60B8">
              <w:rPr>
                <w:rFonts w:ascii="Times New Roman" w:hAnsi="Times New Roman" w:cs="Times New Roman"/>
                <w:noProof/>
                <w:szCs w:val="24"/>
              </w:rPr>
              <w:t>Nr.</w:t>
            </w:r>
          </w:p>
        </w:tc>
        <w:tc>
          <w:tcPr>
            <w:tcW w:w="2696" w:type="dxa"/>
          </w:tcPr>
          <w:p w14:paraId="27EB31F6" w14:textId="77777777" w:rsidR="0041169F" w:rsidRPr="004D60B8" w:rsidRDefault="00000000" w:rsidP="00C12725">
            <w:pPr>
              <w:rPr>
                <w:rFonts w:ascii="Times New Roman" w:hAnsi="Times New Roman" w:cs="Times New Roman"/>
                <w:noProof/>
                <w:szCs w:val="24"/>
              </w:rPr>
            </w:pPr>
            <w:r w:rsidRPr="004D60B8">
              <w:rPr>
                <w:rFonts w:ascii="Times New Roman" w:hAnsi="Times New Roman" w:cs="Times New Roman"/>
                <w:noProof/>
                <w:szCs w:val="24"/>
              </w:rPr>
              <w:t>2-3/19</w:t>
            </w:r>
          </w:p>
        </w:tc>
      </w:tr>
    </w:tbl>
    <w:p w14:paraId="643F184A" w14:textId="77777777" w:rsidR="0041169F" w:rsidRPr="004D60B8" w:rsidRDefault="0041169F" w:rsidP="0041169F">
      <w:pPr>
        <w:tabs>
          <w:tab w:val="right" w:pos="9071"/>
        </w:tabs>
        <w:spacing w:after="120" w:line="240" w:lineRule="auto"/>
        <w:ind w:right="-1"/>
        <w:rPr>
          <w:rFonts w:ascii="Times New Roman" w:hAnsi="Times New Roman" w:cs="Times New Roman"/>
          <w:noProof/>
        </w:rPr>
      </w:pPr>
    </w:p>
    <w:p w14:paraId="6393C3B2" w14:textId="77777777" w:rsidR="00CD3BC4" w:rsidRPr="001D39BA" w:rsidRDefault="00000000" w:rsidP="00CD3BC4">
      <w:pPr>
        <w:jc w:val="center"/>
        <w:rPr>
          <w:rFonts w:ascii="Times New Roman" w:hAnsi="Times New Roman"/>
          <w:b/>
          <w:szCs w:val="24"/>
        </w:rPr>
      </w:pPr>
      <w:r w:rsidRPr="00FB1121">
        <w:rPr>
          <w:rFonts w:ascii="Times New Roman" w:hAnsi="Times New Roman"/>
          <w:b/>
          <w:sz w:val="24"/>
          <w:szCs w:val="24"/>
        </w:rPr>
        <w:t>Ārpus formālās izglītības apgūto vai profesionālajā pieredzē iegūto zināšanu, prasmju, kompetenču vai iepriekšējā izglītībā sasniegtu studiju rezultātu atzīšanas komisijas</w:t>
      </w:r>
      <w:r w:rsidRPr="001D39BA">
        <w:rPr>
          <w:rFonts w:ascii="Times New Roman" w:hAnsi="Times New Roman"/>
          <w:b/>
          <w:szCs w:val="24"/>
        </w:rPr>
        <w:t xml:space="preserve"> </w:t>
      </w:r>
      <w:r w:rsidR="00FB1121">
        <w:rPr>
          <w:rFonts w:ascii="Times New Roman" w:hAnsi="Times New Roman"/>
          <w:b/>
          <w:szCs w:val="24"/>
        </w:rPr>
        <w:t>NOLIKUMS</w:t>
      </w:r>
    </w:p>
    <w:p w14:paraId="56DF862F" w14:textId="77777777" w:rsidR="00DA4D95" w:rsidRPr="00500676" w:rsidRDefault="00DA4D95" w:rsidP="00DA4D95">
      <w:pPr>
        <w:pBdr>
          <w:top w:val="inset" w:sz="6" w:space="1" w:color="auto"/>
          <w:bottom w:val="inset" w:sz="6" w:space="0" w:color="auto"/>
        </w:pBdr>
        <w:spacing w:line="240" w:lineRule="auto"/>
        <w:rPr>
          <w:rFonts w:ascii="Times New Roman" w:hAnsi="Times New Roman" w:cs="Times New Roman"/>
          <w:i/>
        </w:rPr>
      </w:pPr>
      <w:r w:rsidRPr="00500676">
        <w:rPr>
          <w:rFonts w:ascii="Times New Roman" w:hAnsi="Times New Roman" w:cs="Times New Roman"/>
          <w:i/>
        </w:rPr>
        <w:t>Šim dokumentam grozījumu nav</w:t>
      </w:r>
    </w:p>
    <w:p w14:paraId="582B90D0" w14:textId="77777777" w:rsidR="00DA4D95" w:rsidRPr="00500676" w:rsidRDefault="00DA4D95" w:rsidP="00DA4D95">
      <w:pPr>
        <w:spacing w:line="240" w:lineRule="auto"/>
        <w:rPr>
          <w:rFonts w:ascii="Times New Roman" w:hAnsi="Times New Roman" w:cs="Times New Roman"/>
        </w:rPr>
      </w:pPr>
      <w:r w:rsidRPr="00500676">
        <w:rPr>
          <w:rFonts w:ascii="Times New Roman" w:hAnsi="Times New Roman" w:cs="Times New Roman"/>
        </w:rPr>
        <w:tab/>
      </w:r>
      <w:r w:rsidRPr="00500676">
        <w:rPr>
          <w:rFonts w:ascii="Times New Roman" w:hAnsi="Times New Roman" w:cs="Times New Roman"/>
        </w:rPr>
        <w:tab/>
      </w:r>
    </w:p>
    <w:p w14:paraId="36C76453" w14:textId="77777777" w:rsidR="00700444" w:rsidRDefault="00700444" w:rsidP="00700444">
      <w:pPr>
        <w:widowControl w:val="0"/>
        <w:spacing w:line="276" w:lineRule="auto"/>
        <w:jc w:val="both"/>
        <w:rPr>
          <w:rFonts w:ascii="Times New Roman" w:hAnsi="Times New Roman" w:cs="Times New Roman"/>
          <w:sz w:val="24"/>
          <w:szCs w:val="24"/>
        </w:rPr>
      </w:pPr>
    </w:p>
    <w:p w14:paraId="1A6083C5" w14:textId="77777777" w:rsidR="00CD3BC4" w:rsidRPr="001D39BA" w:rsidRDefault="00CD3BC4" w:rsidP="00CD3BC4">
      <w:pPr>
        <w:rPr>
          <w:b/>
          <w:szCs w:val="24"/>
        </w:rPr>
      </w:pPr>
      <w:bookmarkStart w:id="0" w:name="_Hlk73104377"/>
    </w:p>
    <w:bookmarkEnd w:id="0"/>
    <w:p w14:paraId="03ABD837" w14:textId="77777777" w:rsidR="00CD3BC4" w:rsidRPr="001D39BA" w:rsidRDefault="00000000" w:rsidP="00CD3BC4">
      <w:pPr>
        <w:jc w:val="right"/>
        <w:rPr>
          <w:rFonts w:ascii="Times New Roman" w:hAnsi="Times New Roman"/>
          <w:bCs/>
          <w:sz w:val="20"/>
        </w:rPr>
      </w:pPr>
      <w:r w:rsidRPr="001D39BA">
        <w:rPr>
          <w:rFonts w:ascii="Times New Roman" w:hAnsi="Times New Roman"/>
          <w:bCs/>
          <w:sz w:val="20"/>
        </w:rPr>
        <w:t xml:space="preserve">Izdots saskaņā ar Ministru kabineta 2018. gada 14. augusta noteikumu Nr. 505 </w:t>
      </w:r>
    </w:p>
    <w:p w14:paraId="72925992" w14:textId="77777777" w:rsidR="00CD3BC4" w:rsidRDefault="00000000" w:rsidP="00CD3BC4">
      <w:pPr>
        <w:jc w:val="right"/>
        <w:rPr>
          <w:rFonts w:ascii="Times New Roman" w:hAnsi="Times New Roman"/>
          <w:bCs/>
          <w:sz w:val="20"/>
        </w:rPr>
      </w:pPr>
      <w:r w:rsidRPr="001D39BA">
        <w:rPr>
          <w:rFonts w:ascii="Times New Roman" w:hAnsi="Times New Roman"/>
          <w:bCs/>
          <w:sz w:val="20"/>
        </w:rPr>
        <w:t xml:space="preserve">“Ārpus formālās izglītības apgūto vai profesionālajā pieredzē iegūto </w:t>
      </w:r>
    </w:p>
    <w:p w14:paraId="73831A97" w14:textId="77777777" w:rsidR="00CD3BC4" w:rsidRDefault="00000000" w:rsidP="00CD3BC4">
      <w:pPr>
        <w:jc w:val="right"/>
        <w:rPr>
          <w:rFonts w:ascii="Times New Roman" w:hAnsi="Times New Roman"/>
          <w:bCs/>
          <w:sz w:val="20"/>
        </w:rPr>
      </w:pPr>
      <w:r w:rsidRPr="001D39BA">
        <w:rPr>
          <w:rFonts w:ascii="Times New Roman" w:hAnsi="Times New Roman"/>
          <w:bCs/>
          <w:sz w:val="20"/>
        </w:rPr>
        <w:t xml:space="preserve">kompetenču un iepriekšējā izglītībā sasniegtu studiju rezultātu </w:t>
      </w:r>
    </w:p>
    <w:p w14:paraId="07A00A12" w14:textId="77777777" w:rsidR="00CD3BC4" w:rsidRPr="001D39BA" w:rsidRDefault="00000000" w:rsidP="00CD3BC4">
      <w:pPr>
        <w:jc w:val="right"/>
        <w:rPr>
          <w:rFonts w:ascii="Times New Roman" w:hAnsi="Times New Roman"/>
          <w:bCs/>
          <w:sz w:val="20"/>
        </w:rPr>
      </w:pPr>
      <w:r w:rsidRPr="001D39BA">
        <w:rPr>
          <w:rFonts w:ascii="Times New Roman" w:hAnsi="Times New Roman"/>
          <w:bCs/>
          <w:sz w:val="20"/>
        </w:rPr>
        <w:t>atzīšanas noteikumi” 4. punktu</w:t>
      </w:r>
    </w:p>
    <w:p w14:paraId="21AF07B8" w14:textId="77777777" w:rsidR="00CD3BC4" w:rsidRPr="001D39BA" w:rsidRDefault="00CD3BC4" w:rsidP="00CD3BC4">
      <w:pPr>
        <w:pStyle w:val="1lmenis"/>
        <w:numPr>
          <w:ilvl w:val="0"/>
          <w:numId w:val="0"/>
        </w:numPr>
        <w:tabs>
          <w:tab w:val="clear" w:pos="360"/>
          <w:tab w:val="clear" w:pos="993"/>
        </w:tabs>
        <w:spacing w:before="0" w:after="0"/>
        <w:ind w:left="502"/>
        <w:rPr>
          <w:sz w:val="22"/>
          <w:szCs w:val="22"/>
          <w:lang w:val="lv-LV"/>
        </w:rPr>
      </w:pPr>
    </w:p>
    <w:p w14:paraId="52C7D3A4" w14:textId="77777777" w:rsidR="00CD3BC4" w:rsidRPr="001D39BA" w:rsidRDefault="00CD3BC4" w:rsidP="00CD3BC4">
      <w:pPr>
        <w:pStyle w:val="1lmenis"/>
        <w:numPr>
          <w:ilvl w:val="0"/>
          <w:numId w:val="0"/>
        </w:numPr>
        <w:tabs>
          <w:tab w:val="clear" w:pos="360"/>
          <w:tab w:val="clear" w:pos="993"/>
        </w:tabs>
        <w:spacing w:before="0" w:after="0"/>
        <w:ind w:left="502"/>
        <w:rPr>
          <w:sz w:val="22"/>
          <w:szCs w:val="22"/>
          <w:lang w:val="lv-LV"/>
        </w:rPr>
      </w:pPr>
    </w:p>
    <w:p w14:paraId="570F2473" w14:textId="77777777" w:rsidR="00CD3BC4" w:rsidRPr="001D39BA" w:rsidRDefault="00000000" w:rsidP="00CD3BC4">
      <w:pPr>
        <w:pStyle w:val="1lmenis"/>
        <w:numPr>
          <w:ilvl w:val="0"/>
          <w:numId w:val="2"/>
        </w:numPr>
        <w:tabs>
          <w:tab w:val="clear" w:pos="360"/>
          <w:tab w:val="clear" w:pos="993"/>
        </w:tabs>
        <w:spacing w:before="0" w:after="0"/>
        <w:rPr>
          <w:sz w:val="22"/>
          <w:szCs w:val="22"/>
          <w:lang w:val="lv-LV"/>
        </w:rPr>
      </w:pPr>
      <w:r w:rsidRPr="001D39BA">
        <w:rPr>
          <w:sz w:val="22"/>
          <w:szCs w:val="22"/>
          <w:lang w:val="lv-LV"/>
        </w:rPr>
        <w:t>Latvijas Universitāte (turpmāk – LU) veido ārpus formālās izglītības apgūto vai profesionālajā pieredzē iegūto zināšanu, prasmju, kompetenču vai iepriekšējā izglītībā sasniegtu studiju rezultātu atzīšanas komisiju (turpmāk – komisija) katrā LU pārstāvētajā Latvijas izglītības klasifikācijā noteiktajā izglītības tematiskajā jomā. Vairākām izglītības tematiskajām jomām var veidot vienu kopīgu komisiju.</w:t>
      </w:r>
    </w:p>
    <w:p w14:paraId="7AF642DD" w14:textId="77777777" w:rsidR="00CD3BC4" w:rsidRPr="001D39BA" w:rsidRDefault="00000000" w:rsidP="00CD3BC4">
      <w:pPr>
        <w:pStyle w:val="1lmenis"/>
        <w:numPr>
          <w:ilvl w:val="0"/>
          <w:numId w:val="2"/>
        </w:numPr>
        <w:tabs>
          <w:tab w:val="clear" w:pos="360"/>
          <w:tab w:val="clear" w:pos="993"/>
        </w:tabs>
        <w:spacing w:before="0" w:after="0"/>
        <w:rPr>
          <w:sz w:val="22"/>
          <w:szCs w:val="22"/>
          <w:lang w:val="lv-LV"/>
        </w:rPr>
      </w:pPr>
      <w:r w:rsidRPr="001D39BA">
        <w:rPr>
          <w:sz w:val="22"/>
          <w:szCs w:val="22"/>
          <w:lang w:val="lv-LV"/>
        </w:rPr>
        <w:t>Komisiju un tās sastāvu apstiprina ar LU rīkojumu pēc fakultātes dekāna priekšlikuma.</w:t>
      </w:r>
    </w:p>
    <w:p w14:paraId="5470187D" w14:textId="77777777" w:rsidR="00CD3BC4" w:rsidRPr="001D39BA" w:rsidRDefault="00000000" w:rsidP="00CD3BC4">
      <w:pPr>
        <w:pStyle w:val="1lmenis"/>
        <w:numPr>
          <w:ilvl w:val="0"/>
          <w:numId w:val="2"/>
        </w:numPr>
        <w:tabs>
          <w:tab w:val="clear" w:pos="360"/>
          <w:tab w:val="clear" w:pos="993"/>
        </w:tabs>
        <w:spacing w:before="0" w:after="0"/>
        <w:rPr>
          <w:sz w:val="22"/>
          <w:szCs w:val="22"/>
          <w:lang w:val="lv-LV"/>
        </w:rPr>
      </w:pPr>
      <w:r w:rsidRPr="001D39BA">
        <w:rPr>
          <w:sz w:val="22"/>
          <w:szCs w:val="22"/>
          <w:lang w:val="lv-LV"/>
        </w:rPr>
        <w:t>Komisiju veido vismaz pieci LU akadēmiskā personāla locekļi, tai skaitā visu atbilstošo studiju programmu direktori.  Komisijas sastāvā ir priekšsēdētājs, vietnieks. Komisijas sekretāra pienākumus veic kāds no komisijas vai administratīvā personāla pārstāvis.</w:t>
      </w:r>
    </w:p>
    <w:p w14:paraId="6B684528" w14:textId="77777777" w:rsidR="00CD3BC4" w:rsidRPr="001D39BA" w:rsidRDefault="00000000" w:rsidP="00CD3BC4">
      <w:pPr>
        <w:pStyle w:val="1lmenis"/>
        <w:numPr>
          <w:ilvl w:val="0"/>
          <w:numId w:val="2"/>
        </w:numPr>
        <w:tabs>
          <w:tab w:val="clear" w:pos="360"/>
          <w:tab w:val="clear" w:pos="993"/>
        </w:tabs>
        <w:spacing w:before="0" w:after="0"/>
        <w:rPr>
          <w:sz w:val="22"/>
          <w:szCs w:val="22"/>
          <w:lang w:val="lv-LV"/>
        </w:rPr>
      </w:pPr>
      <w:r w:rsidRPr="001D39BA">
        <w:rPr>
          <w:sz w:val="22"/>
          <w:szCs w:val="22"/>
          <w:lang w:val="lv-LV"/>
        </w:rPr>
        <w:t>Atzīšanas komisija ir lemttiesīga, ja sēdē piedalās vismaz trīs tās locekļi, tostarp komisijas priekšsēdētājs vai vietnieks un sekretārs. Ja sēdē piedalās mazāk nekā trīs atzīšanas komisijas locekļi, komisijas priekšsēdētājs sasauc atkārtotu sēdi jautājuma izskatīšanai. Atzīšanas komisijas sēdes ir atklātas.</w:t>
      </w:r>
    </w:p>
    <w:p w14:paraId="1A31EFE4" w14:textId="77777777" w:rsidR="00CD3BC4" w:rsidRPr="001D39BA" w:rsidRDefault="00000000" w:rsidP="00CD3BC4">
      <w:pPr>
        <w:pStyle w:val="1lmenis"/>
        <w:numPr>
          <w:ilvl w:val="0"/>
          <w:numId w:val="2"/>
        </w:numPr>
        <w:tabs>
          <w:tab w:val="clear" w:pos="360"/>
          <w:tab w:val="clear" w:pos="993"/>
        </w:tabs>
        <w:spacing w:before="0" w:after="0"/>
        <w:rPr>
          <w:sz w:val="22"/>
          <w:szCs w:val="22"/>
          <w:lang w:val="lv-LV"/>
        </w:rPr>
      </w:pPr>
      <w:r w:rsidRPr="001D39BA">
        <w:rPr>
          <w:sz w:val="22"/>
          <w:szCs w:val="22"/>
          <w:lang w:val="lv-LV"/>
        </w:rPr>
        <w:t>Atzīšanas komisija lēmumus pieņem ar klātesošo locekļu balsu vairākumu. Vienāda balsu skaita gadījumā noteicošā ir atzīšanas komisijas priekšsēdētāja balss vai, ja priekšsēdētājs sēdē nepiedalās</w:t>
      </w:r>
      <w:r>
        <w:rPr>
          <w:sz w:val="22"/>
          <w:szCs w:val="22"/>
          <w:lang w:val="lv-LV"/>
        </w:rPr>
        <w:t>,</w:t>
      </w:r>
      <w:r w:rsidRPr="001D39BA">
        <w:rPr>
          <w:sz w:val="22"/>
          <w:szCs w:val="22"/>
          <w:lang w:val="lv-LV"/>
        </w:rPr>
        <w:t xml:space="preserve"> – priekšsēdētāja vietnieka balss.</w:t>
      </w:r>
    </w:p>
    <w:p w14:paraId="08CCC816" w14:textId="77777777" w:rsidR="00CD3BC4" w:rsidRPr="001D39BA" w:rsidRDefault="00000000" w:rsidP="00CD3BC4">
      <w:pPr>
        <w:pStyle w:val="1lmenis"/>
        <w:numPr>
          <w:ilvl w:val="0"/>
          <w:numId w:val="2"/>
        </w:numPr>
        <w:tabs>
          <w:tab w:val="clear" w:pos="360"/>
          <w:tab w:val="clear" w:pos="993"/>
        </w:tabs>
        <w:spacing w:before="0" w:after="0"/>
        <w:rPr>
          <w:sz w:val="22"/>
          <w:szCs w:val="22"/>
          <w:lang w:val="lv-LV"/>
        </w:rPr>
      </w:pPr>
      <w:r w:rsidRPr="001D39BA">
        <w:rPr>
          <w:sz w:val="22"/>
          <w:szCs w:val="22"/>
          <w:lang w:val="lv-LV"/>
        </w:rPr>
        <w:lastRenderedPageBreak/>
        <w:t xml:space="preserve">Komisijas tiesības un pienākumi: </w:t>
      </w:r>
    </w:p>
    <w:p w14:paraId="3324A7B2" w14:textId="77777777" w:rsidR="00CD3BC4" w:rsidRPr="001D39BA" w:rsidRDefault="00000000" w:rsidP="00CD3BC4">
      <w:pPr>
        <w:pStyle w:val="11lmenis"/>
        <w:numPr>
          <w:ilvl w:val="1"/>
          <w:numId w:val="2"/>
        </w:numPr>
        <w:tabs>
          <w:tab w:val="clear" w:pos="360"/>
          <w:tab w:val="clear" w:pos="993"/>
        </w:tabs>
        <w:spacing w:before="0" w:after="0"/>
        <w:ind w:left="993" w:hanging="573"/>
        <w:rPr>
          <w:sz w:val="22"/>
          <w:szCs w:val="22"/>
          <w:lang w:val="lv-LV"/>
        </w:rPr>
      </w:pPr>
      <w:r w:rsidRPr="001D39BA">
        <w:rPr>
          <w:sz w:val="22"/>
          <w:szCs w:val="22"/>
          <w:lang w:val="lv-LV"/>
        </w:rPr>
        <w:t>komisija izskata pretendentu iesniegumus un pieņem lēmumu par studiju rezultātu atzīšanu vai par atteikumu atzīt sasniegtos studiju rezultātus</w:t>
      </w:r>
      <w:r>
        <w:rPr>
          <w:sz w:val="22"/>
          <w:szCs w:val="22"/>
          <w:lang w:val="lv-LV"/>
        </w:rPr>
        <w:t>,</w:t>
      </w:r>
      <w:r w:rsidRPr="001D39BA">
        <w:rPr>
          <w:sz w:val="22"/>
          <w:szCs w:val="22"/>
          <w:lang w:val="lv-LV"/>
        </w:rPr>
        <w:t xml:space="preserve"> un informē pretendentu par pieņemto lēmumu;</w:t>
      </w:r>
    </w:p>
    <w:p w14:paraId="204217E1" w14:textId="77777777" w:rsidR="00CD3BC4" w:rsidRPr="001D39BA" w:rsidRDefault="00000000" w:rsidP="00CD3BC4">
      <w:pPr>
        <w:pStyle w:val="11lmenis"/>
        <w:numPr>
          <w:ilvl w:val="1"/>
          <w:numId w:val="2"/>
        </w:numPr>
        <w:tabs>
          <w:tab w:val="clear" w:pos="360"/>
          <w:tab w:val="clear" w:pos="993"/>
        </w:tabs>
        <w:spacing w:before="0" w:after="0"/>
        <w:ind w:left="993" w:hanging="573"/>
        <w:rPr>
          <w:sz w:val="22"/>
          <w:szCs w:val="22"/>
          <w:lang w:val="lv-LV"/>
        </w:rPr>
      </w:pPr>
      <w:r w:rsidRPr="001D39BA">
        <w:rPr>
          <w:sz w:val="22"/>
          <w:szCs w:val="22"/>
          <w:lang w:val="lv-LV"/>
        </w:rPr>
        <w:t>komisija ir tiesīga:</w:t>
      </w:r>
    </w:p>
    <w:p w14:paraId="229ADFC4" w14:textId="77777777" w:rsidR="00CD3BC4" w:rsidRPr="001D39BA" w:rsidRDefault="00000000" w:rsidP="00CD3BC4">
      <w:pPr>
        <w:pStyle w:val="111lmenis"/>
        <w:numPr>
          <w:ilvl w:val="2"/>
          <w:numId w:val="2"/>
        </w:numPr>
        <w:tabs>
          <w:tab w:val="clear" w:pos="360"/>
          <w:tab w:val="clear" w:pos="993"/>
        </w:tabs>
        <w:spacing w:before="0" w:after="0"/>
        <w:ind w:left="1418" w:hanging="698"/>
        <w:rPr>
          <w:sz w:val="22"/>
          <w:szCs w:val="22"/>
          <w:lang w:val="lv-LV"/>
        </w:rPr>
      </w:pPr>
      <w:r w:rsidRPr="001D39BA">
        <w:rPr>
          <w:sz w:val="22"/>
          <w:szCs w:val="22"/>
          <w:lang w:val="lv-LV"/>
        </w:rPr>
        <w:t>pārbaudīt sniegtās informācijas un ziņu atbilstību faktiskajiem apstākļiem;</w:t>
      </w:r>
    </w:p>
    <w:p w14:paraId="2A87318E" w14:textId="77777777" w:rsidR="00CD3BC4" w:rsidRPr="001D39BA" w:rsidRDefault="00000000" w:rsidP="00CD3BC4">
      <w:pPr>
        <w:pStyle w:val="111lmenis"/>
        <w:numPr>
          <w:ilvl w:val="2"/>
          <w:numId w:val="2"/>
        </w:numPr>
        <w:tabs>
          <w:tab w:val="clear" w:pos="360"/>
          <w:tab w:val="clear" w:pos="993"/>
        </w:tabs>
        <w:spacing w:before="0" w:after="0"/>
        <w:ind w:left="1418" w:hanging="698"/>
        <w:rPr>
          <w:sz w:val="22"/>
          <w:szCs w:val="22"/>
          <w:lang w:val="lv-LV"/>
        </w:rPr>
      </w:pPr>
      <w:r w:rsidRPr="001D39BA">
        <w:rPr>
          <w:sz w:val="22"/>
          <w:szCs w:val="22"/>
          <w:lang w:val="lv-LV"/>
        </w:rPr>
        <w:t>pieprasīt papildu informāciju, ja komisija uzskata, ka tās rīcībā nav pietiekamu ziņu, lai objektīvi un vispusīgi izlemtu jautājumu par studiju rezultātu atzīšanu;</w:t>
      </w:r>
    </w:p>
    <w:p w14:paraId="1F84D5C7" w14:textId="77777777" w:rsidR="00CD3BC4" w:rsidRPr="001D39BA" w:rsidRDefault="00000000" w:rsidP="00CD3BC4">
      <w:pPr>
        <w:pStyle w:val="111lmenis"/>
        <w:numPr>
          <w:ilvl w:val="2"/>
          <w:numId w:val="2"/>
        </w:numPr>
        <w:tabs>
          <w:tab w:val="clear" w:pos="360"/>
          <w:tab w:val="clear" w:pos="993"/>
        </w:tabs>
        <w:spacing w:before="0" w:after="0"/>
        <w:ind w:left="1418" w:hanging="698"/>
        <w:rPr>
          <w:sz w:val="22"/>
          <w:szCs w:val="22"/>
          <w:lang w:val="lv-LV"/>
        </w:rPr>
      </w:pPr>
      <w:r w:rsidRPr="001D39BA">
        <w:rPr>
          <w:sz w:val="22"/>
          <w:szCs w:val="22"/>
          <w:lang w:val="lv-LV"/>
        </w:rPr>
        <w:t>noteikt pārbaudījumus studiju rezultātu novērtēšanai;</w:t>
      </w:r>
    </w:p>
    <w:p w14:paraId="4609E7D1" w14:textId="77777777" w:rsidR="00CD3BC4" w:rsidRPr="001D39BA" w:rsidRDefault="00000000" w:rsidP="00CD3BC4">
      <w:pPr>
        <w:pStyle w:val="111lmenis"/>
        <w:numPr>
          <w:ilvl w:val="2"/>
          <w:numId w:val="2"/>
        </w:numPr>
        <w:tabs>
          <w:tab w:val="clear" w:pos="360"/>
          <w:tab w:val="clear" w:pos="993"/>
        </w:tabs>
        <w:spacing w:before="0" w:after="0"/>
        <w:ind w:left="1418" w:hanging="698"/>
        <w:rPr>
          <w:sz w:val="22"/>
          <w:szCs w:val="22"/>
          <w:lang w:val="lv-LV"/>
        </w:rPr>
      </w:pPr>
      <w:r w:rsidRPr="001D39BA">
        <w:rPr>
          <w:sz w:val="22"/>
          <w:szCs w:val="22"/>
          <w:lang w:val="lv-LV"/>
        </w:rPr>
        <w:t>pieaicināt nepieciešamos ekspertus kvalitatīva lēmuma pieņemšanai.</w:t>
      </w:r>
    </w:p>
    <w:p w14:paraId="050F236E" w14:textId="77777777" w:rsidR="00CD3BC4" w:rsidRPr="001D39BA" w:rsidRDefault="00000000" w:rsidP="00CD3BC4">
      <w:pPr>
        <w:pStyle w:val="1lmenis"/>
        <w:numPr>
          <w:ilvl w:val="0"/>
          <w:numId w:val="2"/>
        </w:numPr>
        <w:tabs>
          <w:tab w:val="clear" w:pos="360"/>
          <w:tab w:val="clear" w:pos="993"/>
        </w:tabs>
        <w:spacing w:before="0" w:after="0"/>
        <w:rPr>
          <w:sz w:val="22"/>
          <w:szCs w:val="22"/>
          <w:lang w:val="lv-LV"/>
        </w:rPr>
      </w:pPr>
      <w:r w:rsidRPr="001D39BA">
        <w:rPr>
          <w:sz w:val="22"/>
          <w:szCs w:val="22"/>
          <w:lang w:val="lv-LV"/>
        </w:rPr>
        <w:t>Ārpus formālās izglītības apgūto vai profesionālajā pieredzē iegūto zināšanu, prasmju un kompetenču un iepriekšējā izglītībā sasniegtu studiju rezultātu atzīšanas un akadēmiskās darbības pielīdzināšanas kārtību nosaka rektors.</w:t>
      </w:r>
    </w:p>
    <w:p w14:paraId="30CEF905" w14:textId="77777777" w:rsidR="00CD3BC4" w:rsidRPr="001D39BA" w:rsidRDefault="00000000" w:rsidP="00CD3BC4">
      <w:pPr>
        <w:pStyle w:val="1lmenis"/>
        <w:numPr>
          <w:ilvl w:val="0"/>
          <w:numId w:val="2"/>
        </w:numPr>
        <w:tabs>
          <w:tab w:val="clear" w:pos="360"/>
          <w:tab w:val="clear" w:pos="993"/>
        </w:tabs>
        <w:spacing w:before="0" w:after="0"/>
        <w:rPr>
          <w:sz w:val="22"/>
          <w:szCs w:val="22"/>
          <w:lang w:val="lv-LV"/>
        </w:rPr>
      </w:pPr>
      <w:r w:rsidRPr="001D39BA">
        <w:rPr>
          <w:sz w:val="22"/>
          <w:szCs w:val="22"/>
          <w:lang w:val="lv-LV"/>
        </w:rPr>
        <w:t xml:space="preserve">Nolikums stājas spēkā 2025. gada </w:t>
      </w:r>
      <w:r>
        <w:rPr>
          <w:sz w:val="22"/>
          <w:szCs w:val="22"/>
          <w:lang w:val="lv-LV"/>
        </w:rPr>
        <w:t>1. aprīlī</w:t>
      </w:r>
      <w:r w:rsidRPr="001D39BA">
        <w:rPr>
          <w:sz w:val="22"/>
          <w:szCs w:val="22"/>
          <w:lang w:val="lv-LV"/>
        </w:rPr>
        <w:t xml:space="preserve">. </w:t>
      </w:r>
    </w:p>
    <w:p w14:paraId="0F34084A" w14:textId="77777777" w:rsidR="00CD3BC4" w:rsidRPr="001D39BA" w:rsidRDefault="00000000" w:rsidP="00CD3BC4">
      <w:pPr>
        <w:pStyle w:val="1lmenis"/>
        <w:numPr>
          <w:ilvl w:val="0"/>
          <w:numId w:val="2"/>
        </w:numPr>
        <w:tabs>
          <w:tab w:val="clear" w:pos="360"/>
          <w:tab w:val="clear" w:pos="993"/>
        </w:tabs>
        <w:spacing w:before="0" w:after="0"/>
        <w:rPr>
          <w:sz w:val="22"/>
          <w:szCs w:val="22"/>
          <w:lang w:val="lv-LV"/>
        </w:rPr>
      </w:pPr>
      <w:r w:rsidRPr="001D39BA">
        <w:rPr>
          <w:sz w:val="22"/>
          <w:szCs w:val="22"/>
          <w:lang w:val="lv-LV"/>
        </w:rPr>
        <w:t>Atzīt par spēku zaudējušu Senāta 28.06.2021. lēmumu Nr. 86 “Nolikums par ārpus formālās izglītības apgūto vai profesionālajā pieredzē iegūto zināšanu, prasmju, kompetenču, iepriekšējā izglītībā sasniegtu studiju rezultātu atzīšanu un akadēmiskās darbības pielīdzināšanu Latvijas Universitātē”.</w:t>
      </w:r>
    </w:p>
    <w:p w14:paraId="5A2EBFB2" w14:textId="77777777" w:rsidR="00CD3BC4" w:rsidRDefault="00CD3BC4" w:rsidP="00700444">
      <w:pPr>
        <w:widowControl w:val="0"/>
        <w:spacing w:line="276" w:lineRule="auto"/>
        <w:jc w:val="both"/>
        <w:rPr>
          <w:rFonts w:ascii="Times New Roman" w:hAnsi="Times New Roman" w:cs="Times New Roman"/>
          <w:sz w:val="24"/>
          <w:szCs w:val="24"/>
        </w:rPr>
      </w:pPr>
    </w:p>
    <w:p w14:paraId="4E7CEE13" w14:textId="77777777" w:rsidR="000C2D3F" w:rsidRDefault="000C2D3F" w:rsidP="00700444">
      <w:pPr>
        <w:widowControl w:val="0"/>
        <w:spacing w:line="276" w:lineRule="auto"/>
        <w:jc w:val="both"/>
        <w:rPr>
          <w:rFonts w:ascii="Times New Roman" w:hAnsi="Times New Roman" w:cs="Times New Roman"/>
          <w:sz w:val="24"/>
          <w:szCs w:val="24"/>
        </w:rPr>
      </w:pPr>
    </w:p>
    <w:p w14:paraId="29C623A6" w14:textId="77777777" w:rsidR="000C2D3F" w:rsidRDefault="000C2D3F" w:rsidP="00700444">
      <w:pPr>
        <w:widowControl w:val="0"/>
        <w:spacing w:line="276" w:lineRule="auto"/>
        <w:jc w:val="both"/>
        <w:rPr>
          <w:rFonts w:ascii="Times New Roman" w:hAnsi="Times New Roman" w:cs="Times New Roman"/>
          <w:sz w:val="24"/>
          <w:szCs w:val="24"/>
        </w:rPr>
      </w:pPr>
    </w:p>
    <w:p w14:paraId="31525B7E" w14:textId="77777777" w:rsidR="000C2D3F" w:rsidRDefault="000C2D3F" w:rsidP="00700444">
      <w:pPr>
        <w:widowControl w:val="0"/>
        <w:spacing w:line="276" w:lineRule="auto"/>
        <w:jc w:val="both"/>
      </w:pPr>
    </w:p>
    <w:sectPr w:rsidR="000C2D3F" w:rsidSect="00231D6A">
      <w:headerReference w:type="even" r:id="rId8"/>
      <w:headerReference w:type="default" r:id="rId9"/>
      <w:footerReference w:type="default" r:id="rId10"/>
      <w:headerReference w:type="first" r:id="rId11"/>
      <w:footerReference w:type="first" r:id="rId12"/>
      <w:pgSz w:w="11906" w:h="16838" w:code="9"/>
      <w:pgMar w:top="1134" w:right="851" w:bottom="1134" w:left="1701" w:header="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8B1D3" w14:textId="77777777" w:rsidR="00D16785" w:rsidRDefault="00D16785">
      <w:pPr>
        <w:spacing w:line="240" w:lineRule="auto"/>
      </w:pPr>
      <w:r>
        <w:separator/>
      </w:r>
    </w:p>
  </w:endnote>
  <w:endnote w:type="continuationSeparator" w:id="0">
    <w:p w14:paraId="454965B9" w14:textId="77777777" w:rsidR="00D16785" w:rsidRDefault="00D167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Subh">
    <w:altName w:val="Cambria"/>
    <w:panose1 w:val="00000000000000000000"/>
    <w:charset w:val="00"/>
    <w:family w:val="roman"/>
    <w:notTrueType/>
    <w:pitch w:val="variable"/>
    <w:sig w:usb0="E00002AF" w:usb1="5000607B" w:usb2="00000000" w:usb3="00000000" w:csb0="0000009F" w:csb1="00000000"/>
  </w:font>
  <w:font w:name="Minion Pro">
    <w:altName w:val="Cambria"/>
    <w:panose1 w:val="00000000000000000000"/>
    <w:charset w:val="00"/>
    <w:family w:val="roman"/>
    <w:notTrueType/>
    <w:pitch w:val="variable"/>
    <w:sig w:usb0="E00002AF" w:usb1="5000607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FE24" w14:textId="77777777" w:rsidR="00AE50C0" w:rsidRDefault="00AE50C0">
    <w:pPr>
      <w:pStyle w:val="Footer"/>
    </w:pPr>
  </w:p>
  <w:p w14:paraId="771B72B5" w14:textId="77777777" w:rsidR="00AE50C0" w:rsidRDefault="00AE50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DCE65" w14:textId="77777777" w:rsidR="004A6446" w:rsidRDefault="004A6446">
    <w:pPr>
      <w:pStyle w:val="Footer"/>
    </w:pPr>
  </w:p>
  <w:p w14:paraId="30D3B53C" w14:textId="77777777" w:rsidR="004A6446" w:rsidRDefault="004A6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77060" w14:textId="77777777" w:rsidR="00D16785" w:rsidRDefault="00D16785">
      <w:pPr>
        <w:spacing w:line="240" w:lineRule="auto"/>
      </w:pPr>
      <w:r>
        <w:separator/>
      </w:r>
    </w:p>
  </w:footnote>
  <w:footnote w:type="continuationSeparator" w:id="0">
    <w:p w14:paraId="2A852272" w14:textId="77777777" w:rsidR="00D16785" w:rsidRDefault="00D167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84085747"/>
      <w:docPartObj>
        <w:docPartGallery w:val="Page Numbers (Top of Page)"/>
        <w:docPartUnique/>
      </w:docPartObj>
    </w:sdtPr>
    <w:sdtContent>
      <w:p w14:paraId="49A6DD0D" w14:textId="77777777" w:rsidR="004A6446" w:rsidRDefault="00000000" w:rsidP="00D74015">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17B1052" w14:textId="77777777" w:rsidR="004A6446" w:rsidRDefault="004A64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2D697" w14:textId="77777777" w:rsidR="004A6446" w:rsidRDefault="004A6446" w:rsidP="004A6446">
    <w:pPr>
      <w:pStyle w:val="Header"/>
      <w:rPr>
        <w:rFonts w:ascii="Minion Pro" w:hAnsi="Minion Pro"/>
      </w:rPr>
    </w:pPr>
  </w:p>
  <w:p w14:paraId="453F3938" w14:textId="77777777" w:rsidR="004A6446" w:rsidRDefault="004A6446" w:rsidP="004A6446">
    <w:pPr>
      <w:pStyle w:val="Header"/>
      <w:rPr>
        <w:rFonts w:ascii="Minion Pro" w:hAnsi="Minion Pro"/>
      </w:rPr>
    </w:pPr>
  </w:p>
  <w:p w14:paraId="2582F56F" w14:textId="77777777" w:rsidR="004A6446" w:rsidRDefault="004A6446" w:rsidP="004A6446">
    <w:pPr>
      <w:pStyle w:val="Header"/>
      <w:rPr>
        <w:rFonts w:ascii="Minion Pro" w:hAnsi="Minion Pro"/>
      </w:rPr>
    </w:pPr>
  </w:p>
  <w:sdt>
    <w:sdtPr>
      <w:rPr>
        <w:rFonts w:ascii="Times New Roman" w:hAnsi="Times New Roman"/>
        <w:color w:val="002D74"/>
        <w:sz w:val="28"/>
      </w:rPr>
      <w:id w:val="690157962"/>
      <w:docPartObj>
        <w:docPartGallery w:val="Page Numbers (Top of Page)"/>
        <w:docPartUnique/>
      </w:docPartObj>
    </w:sdtPr>
    <w:sdtEndPr>
      <w:rPr>
        <w:noProof/>
      </w:rPr>
    </w:sdtEndPr>
    <w:sdtContent>
      <w:p w14:paraId="2C0E5FDE" w14:textId="77777777" w:rsidR="004A6446" w:rsidRPr="00CD3BC4" w:rsidRDefault="00000000" w:rsidP="004A6446">
        <w:pPr>
          <w:pStyle w:val="Header"/>
          <w:jc w:val="center"/>
          <w:rPr>
            <w:rFonts w:ascii="Arial" w:hAnsi="Arial" w:cs="Arial"/>
            <w:noProof/>
            <w:color w:val="002D74"/>
            <w:sz w:val="20"/>
            <w:szCs w:val="20"/>
          </w:rPr>
        </w:pPr>
        <w:r w:rsidRPr="00CD3BC4">
          <w:rPr>
            <w:rFonts w:ascii="Arial" w:hAnsi="Arial" w:cs="Arial"/>
            <w:color w:val="002D74"/>
            <w:sz w:val="20"/>
            <w:szCs w:val="20"/>
          </w:rPr>
          <w:fldChar w:fldCharType="begin"/>
        </w:r>
        <w:r w:rsidRPr="00CD3BC4">
          <w:rPr>
            <w:rFonts w:ascii="Arial" w:hAnsi="Arial" w:cs="Arial"/>
            <w:color w:val="002D74"/>
            <w:sz w:val="20"/>
            <w:szCs w:val="20"/>
          </w:rPr>
          <w:instrText xml:space="preserve"> PAGE   \* MERGEFORMAT </w:instrText>
        </w:r>
        <w:r w:rsidRPr="00CD3BC4">
          <w:rPr>
            <w:rFonts w:ascii="Arial" w:hAnsi="Arial" w:cs="Arial"/>
            <w:color w:val="002D74"/>
            <w:sz w:val="20"/>
            <w:szCs w:val="20"/>
          </w:rPr>
          <w:fldChar w:fldCharType="separate"/>
        </w:r>
        <w:r w:rsidRPr="00CD3BC4">
          <w:rPr>
            <w:rFonts w:ascii="Arial" w:hAnsi="Arial" w:cs="Arial"/>
            <w:color w:val="002D74"/>
            <w:sz w:val="20"/>
            <w:szCs w:val="20"/>
          </w:rPr>
          <w:t>2</w:t>
        </w:r>
        <w:r w:rsidRPr="00CD3BC4">
          <w:rPr>
            <w:rFonts w:ascii="Arial" w:hAnsi="Arial" w:cs="Arial"/>
            <w:noProof/>
            <w:color w:val="002D74"/>
            <w:sz w:val="20"/>
            <w:szCs w:val="20"/>
          </w:rPr>
          <w:fldChar w:fldCharType="end"/>
        </w:r>
      </w:p>
      <w:p w14:paraId="3E80987F" w14:textId="77777777" w:rsidR="00AE50C0" w:rsidRPr="004A6446" w:rsidRDefault="00000000" w:rsidP="004A6446">
        <w:pPr>
          <w:pStyle w:val="Heade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FE508" w14:textId="77777777" w:rsidR="00AE50C0" w:rsidRDefault="00AE50C0" w:rsidP="00E51DA3">
    <w:pPr>
      <w:pStyle w:val="Header"/>
      <w:rPr>
        <w:rFonts w:ascii="Minion Pro" w:hAnsi="Minion Pro"/>
      </w:rPr>
    </w:pPr>
  </w:p>
  <w:p w14:paraId="19D22ADE" w14:textId="77777777" w:rsidR="00AE50C0" w:rsidRDefault="00000000">
    <w:pPr>
      <w:pStyle w:val="Header"/>
    </w:pPr>
    <w:r>
      <w:rPr>
        <w:noProof/>
        <w:lang w:val="en-US"/>
      </w:rPr>
      <w:drawing>
        <wp:anchor distT="0" distB="0" distL="114300" distR="114300" simplePos="0" relativeHeight="251664384" behindDoc="1" locked="0" layoutInCell="1" allowOverlap="1" wp14:anchorId="235418FA" wp14:editId="6C4EF673">
          <wp:simplePos x="0" y="0"/>
          <wp:positionH relativeFrom="column">
            <wp:posOffset>1887220</wp:posOffset>
          </wp:positionH>
          <wp:positionV relativeFrom="paragraph">
            <wp:posOffset>285750</wp:posOffset>
          </wp:positionV>
          <wp:extent cx="2188845" cy="1088390"/>
          <wp:effectExtent l="0" t="0" r="0" b="0"/>
          <wp:wrapNone/>
          <wp:docPr id="7971820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182029"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188845" cy="1088390"/>
                  </a:xfrm>
                  <a:prstGeom prst="rect">
                    <a:avLst/>
                  </a:prstGeom>
                </pic:spPr>
              </pic:pic>
            </a:graphicData>
          </a:graphic>
          <wp14:sizeRelH relativeFrom="page">
            <wp14:pctWidth>0</wp14:pctWidth>
          </wp14:sizeRelH>
          <wp14:sizeRelV relativeFrom="page">
            <wp14:pctHeight>0</wp14:pctHeight>
          </wp14:sizeRelV>
        </wp:anchor>
      </w:drawing>
    </w:r>
    <w:r w:rsidR="00003306">
      <w:rPr>
        <w:noProof/>
        <w:lang w:val="en-US"/>
      </w:rPr>
      <mc:AlternateContent>
        <mc:Choice Requires="wps">
          <w:drawing>
            <wp:anchor distT="0" distB="0" distL="114300" distR="114300" simplePos="0" relativeHeight="251660288" behindDoc="1" locked="0" layoutInCell="1" allowOverlap="1" wp14:anchorId="2C518C7E" wp14:editId="4F879B35">
              <wp:simplePos x="0" y="0"/>
              <wp:positionH relativeFrom="page">
                <wp:posOffset>1127125</wp:posOffset>
              </wp:positionH>
              <wp:positionV relativeFrom="page">
                <wp:posOffset>1770380</wp:posOffset>
              </wp:positionV>
              <wp:extent cx="5838825" cy="314325"/>
              <wp:effectExtent l="0" t="0" r="3175" b="3175"/>
              <wp:wrapNone/>
              <wp:docPr id="123055994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D28DD" w14:textId="77777777" w:rsidR="0006796C" w:rsidRPr="005717C5" w:rsidRDefault="00000000" w:rsidP="0006796C">
                          <w:pPr>
                            <w:jc w:val="center"/>
                            <w:rPr>
                              <w:rFonts w:ascii="Arial" w:hAnsi="Arial" w:cs="Arial"/>
                              <w:color w:val="002D74"/>
                              <w:sz w:val="16"/>
                              <w:szCs w:val="16"/>
                            </w:rPr>
                          </w:pPr>
                          <w:r>
                            <w:rPr>
                              <w:rFonts w:ascii="Arial" w:hAnsi="Arial" w:cs="Arial"/>
                              <w:color w:val="002D74"/>
                              <w:sz w:val="16"/>
                              <w:szCs w:val="16"/>
                            </w:rPr>
                            <w:t>Raiņa</w:t>
                          </w:r>
                          <w:r w:rsidRPr="005717C5">
                            <w:rPr>
                              <w:rFonts w:ascii="Arial" w:hAnsi="Arial" w:cs="Arial"/>
                              <w:color w:val="002D74"/>
                              <w:sz w:val="16"/>
                              <w:szCs w:val="16"/>
                            </w:rPr>
                            <w:t xml:space="preserve"> bulvāris </w:t>
                          </w:r>
                          <w:r>
                            <w:rPr>
                              <w:rFonts w:ascii="Arial" w:hAnsi="Arial" w:cs="Arial"/>
                              <w:color w:val="002D74"/>
                              <w:sz w:val="16"/>
                              <w:szCs w:val="16"/>
                            </w:rPr>
                            <w:t>19</w:t>
                          </w:r>
                          <w:r w:rsidRPr="005717C5">
                            <w:rPr>
                              <w:rFonts w:ascii="Arial" w:hAnsi="Arial" w:cs="Arial"/>
                              <w:color w:val="002D74"/>
                              <w:sz w:val="16"/>
                              <w:szCs w:val="16"/>
                            </w:rPr>
                            <w:t>, Rīga, LV-1</w:t>
                          </w:r>
                          <w:r>
                            <w:rPr>
                              <w:rFonts w:ascii="Arial" w:hAnsi="Arial" w:cs="Arial"/>
                              <w:color w:val="002D74"/>
                              <w:sz w:val="16"/>
                              <w:szCs w:val="16"/>
                            </w:rPr>
                            <w:t>586</w:t>
                          </w:r>
                          <w:r w:rsidRPr="005717C5">
                            <w:rPr>
                              <w:rFonts w:ascii="Arial" w:hAnsi="Arial" w:cs="Arial"/>
                              <w:color w:val="002D74"/>
                              <w:sz w:val="16"/>
                              <w:szCs w:val="16"/>
                            </w:rPr>
                            <w:t>; tālr. 6703</w:t>
                          </w:r>
                          <w:r>
                            <w:rPr>
                              <w:rFonts w:ascii="Arial" w:hAnsi="Arial" w:cs="Arial"/>
                              <w:color w:val="002D74"/>
                              <w:sz w:val="16"/>
                              <w:szCs w:val="16"/>
                            </w:rPr>
                            <w:t>3950</w:t>
                          </w:r>
                        </w:p>
                        <w:p w14:paraId="0FB56DFF" w14:textId="77777777" w:rsidR="0006796C" w:rsidRPr="005717C5" w:rsidRDefault="0006796C" w:rsidP="0006796C">
                          <w:pPr>
                            <w:spacing w:line="194" w:lineRule="exact"/>
                            <w:ind w:left="20" w:right="-45"/>
                            <w:jc w:val="center"/>
                            <w:rPr>
                              <w:rFonts w:ascii="Arial" w:eastAsia="Times New Roman" w:hAnsi="Arial" w:cs="Arial"/>
                              <w:color w:val="002D74"/>
                              <w:sz w:val="16"/>
                              <w:szCs w:val="16"/>
                            </w:rPr>
                          </w:pPr>
                        </w:p>
                        <w:p w14:paraId="3E497C98" w14:textId="77777777" w:rsidR="00720B44" w:rsidRPr="005717C5" w:rsidRDefault="00720B44" w:rsidP="00720B44">
                          <w:pPr>
                            <w:spacing w:line="194" w:lineRule="exact"/>
                            <w:ind w:left="20" w:right="-45"/>
                            <w:jc w:val="center"/>
                            <w:rPr>
                              <w:rFonts w:ascii="Arial" w:eastAsia="Times New Roman" w:hAnsi="Arial" w:cs="Arial"/>
                              <w:color w:val="002D74"/>
                              <w:sz w:val="16"/>
                              <w:szCs w:val="16"/>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39.4pt;margin-left:88.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06796C" w:rsidRPr="005717C5" w:rsidP="0006796C" w14:paraId="63FF35D8" w14:textId="77777777">
                    <w:pPr>
                      <w:jc w:val="center"/>
                      <w:rPr>
                        <w:rFonts w:ascii="Arial" w:hAnsi="Arial" w:cs="Arial"/>
                        <w:color w:val="002D74"/>
                        <w:sz w:val="16"/>
                        <w:szCs w:val="16"/>
                      </w:rPr>
                    </w:pPr>
                    <w:r>
                      <w:rPr>
                        <w:rFonts w:ascii="Arial" w:hAnsi="Arial" w:cs="Arial"/>
                        <w:color w:val="002D74"/>
                        <w:sz w:val="16"/>
                        <w:szCs w:val="16"/>
                      </w:rPr>
                      <w:t>Raiņa</w:t>
                    </w:r>
                    <w:r w:rsidRPr="005717C5">
                      <w:rPr>
                        <w:rFonts w:ascii="Arial" w:hAnsi="Arial" w:cs="Arial"/>
                        <w:color w:val="002D74"/>
                        <w:sz w:val="16"/>
                        <w:szCs w:val="16"/>
                      </w:rPr>
                      <w:t xml:space="preserve"> bulvāris </w:t>
                    </w:r>
                    <w:r>
                      <w:rPr>
                        <w:rFonts w:ascii="Arial" w:hAnsi="Arial" w:cs="Arial"/>
                        <w:color w:val="002D74"/>
                        <w:sz w:val="16"/>
                        <w:szCs w:val="16"/>
                      </w:rPr>
                      <w:t>19</w:t>
                    </w:r>
                    <w:r w:rsidRPr="005717C5">
                      <w:rPr>
                        <w:rFonts w:ascii="Arial" w:hAnsi="Arial" w:cs="Arial"/>
                        <w:color w:val="002D74"/>
                        <w:sz w:val="16"/>
                        <w:szCs w:val="16"/>
                      </w:rPr>
                      <w:t>, Rīga, LV-1</w:t>
                    </w:r>
                    <w:r>
                      <w:rPr>
                        <w:rFonts w:ascii="Arial" w:hAnsi="Arial" w:cs="Arial"/>
                        <w:color w:val="002D74"/>
                        <w:sz w:val="16"/>
                        <w:szCs w:val="16"/>
                      </w:rPr>
                      <w:t>586</w:t>
                    </w:r>
                    <w:r w:rsidRPr="005717C5">
                      <w:rPr>
                        <w:rFonts w:ascii="Arial" w:hAnsi="Arial" w:cs="Arial"/>
                        <w:color w:val="002D74"/>
                        <w:sz w:val="16"/>
                        <w:szCs w:val="16"/>
                      </w:rPr>
                      <w:t>; tālr. 6703</w:t>
                    </w:r>
                    <w:r>
                      <w:rPr>
                        <w:rFonts w:ascii="Arial" w:hAnsi="Arial" w:cs="Arial"/>
                        <w:color w:val="002D74"/>
                        <w:sz w:val="16"/>
                        <w:szCs w:val="16"/>
                      </w:rPr>
                      <w:t>3950</w:t>
                    </w:r>
                  </w:p>
                  <w:p w:rsidR="0006796C" w:rsidRPr="005717C5" w:rsidP="0006796C" w14:paraId="50C1957B" w14:textId="77777777">
                    <w:pPr>
                      <w:spacing w:line="194" w:lineRule="exact"/>
                      <w:ind w:left="20" w:right="-45"/>
                      <w:jc w:val="center"/>
                      <w:rPr>
                        <w:rFonts w:ascii="Arial" w:eastAsia="Times New Roman" w:hAnsi="Arial" w:cs="Arial"/>
                        <w:color w:val="002D74"/>
                        <w:sz w:val="16"/>
                        <w:szCs w:val="16"/>
                      </w:rPr>
                    </w:pPr>
                  </w:p>
                  <w:p w:rsidR="00720B44" w:rsidRPr="005717C5" w:rsidP="00720B44" w14:paraId="2D906CBF" w14:textId="77777777">
                    <w:pPr>
                      <w:spacing w:line="194" w:lineRule="exact"/>
                      <w:ind w:left="20" w:right="-45"/>
                      <w:jc w:val="center"/>
                      <w:rPr>
                        <w:rFonts w:ascii="Arial" w:eastAsia="Times New Roman" w:hAnsi="Arial" w:cs="Arial"/>
                        <w:color w:val="002D74"/>
                        <w:sz w:val="16"/>
                        <w:szCs w:val="16"/>
                      </w:rPr>
                    </w:pPr>
                  </w:p>
                </w:txbxContent>
              </v:textbox>
            </v:shape>
          </w:pict>
        </mc:Fallback>
      </mc:AlternateContent>
    </w:r>
    <w:r w:rsidR="00003306">
      <w:rPr>
        <w:noProof/>
        <w:lang w:val="en-US"/>
      </w:rPr>
      <mc:AlternateContent>
        <mc:Choice Requires="wps">
          <w:drawing>
            <wp:anchor distT="0" distB="0" distL="114300" distR="114300" simplePos="0" relativeHeight="251658240" behindDoc="1" locked="0" layoutInCell="1" allowOverlap="1" wp14:anchorId="205A2D80" wp14:editId="3E905AE5">
              <wp:simplePos x="0" y="0"/>
              <wp:positionH relativeFrom="page">
                <wp:posOffset>1126490</wp:posOffset>
              </wp:positionH>
              <wp:positionV relativeFrom="page">
                <wp:posOffset>1506220</wp:posOffset>
              </wp:positionV>
              <wp:extent cx="5838825" cy="314325"/>
              <wp:effectExtent l="0" t="0" r="3175" b="317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DEB27" w14:textId="77777777" w:rsidR="002C388C" w:rsidRPr="00720B44" w:rsidRDefault="00000000" w:rsidP="002C388C">
                          <w:pPr>
                            <w:spacing w:line="240" w:lineRule="auto"/>
                            <w:ind w:left="20" w:right="-45"/>
                            <w:jc w:val="center"/>
                            <w:rPr>
                              <w:rFonts w:ascii="Arial" w:eastAsia="Times New Roman" w:hAnsi="Arial" w:cs="Arial"/>
                              <w:color w:val="002D74"/>
                              <w:sz w:val="28"/>
                              <w:szCs w:val="28"/>
                            </w:rPr>
                          </w:pPr>
                          <w:r>
                            <w:rPr>
                              <w:rFonts w:ascii="Arial" w:eastAsia="Times New Roman" w:hAnsi="Arial" w:cs="Arial"/>
                              <w:color w:val="002D74"/>
                              <w:sz w:val="28"/>
                              <w:szCs w:val="28"/>
                            </w:rPr>
                            <w:t>SENĀTS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2050" type="#_x0000_t202" style="width:459.75pt;height:24.75pt;margin-top:118.6pt;margin-left:88.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2C388C" w:rsidRPr="00720B44" w:rsidP="002C388C" w14:paraId="5BB373EF" w14:textId="77777777">
                    <w:pPr>
                      <w:spacing w:line="240" w:lineRule="auto"/>
                      <w:ind w:left="20" w:right="-45"/>
                      <w:jc w:val="center"/>
                      <w:rPr>
                        <w:rFonts w:ascii="Arial" w:eastAsia="Times New Roman" w:hAnsi="Arial" w:cs="Arial"/>
                        <w:color w:val="002D74"/>
                        <w:sz w:val="28"/>
                        <w:szCs w:val="28"/>
                      </w:rPr>
                    </w:pPr>
                    <w:r>
                      <w:rPr>
                        <w:rFonts w:ascii="Arial" w:eastAsia="Times New Roman" w:hAnsi="Arial" w:cs="Arial"/>
                        <w:color w:val="002D74"/>
                        <w:sz w:val="28"/>
                        <w:szCs w:val="28"/>
                      </w:rPr>
                      <w:t>SENĀTS</w:t>
                    </w:r>
                  </w:p>
                </w:txbxContent>
              </v:textbox>
            </v:shape>
          </w:pict>
        </mc:Fallback>
      </mc:AlternateContent>
    </w:r>
    <w:r w:rsidR="00003306" w:rsidRPr="002C388C">
      <w:rPr>
        <w:noProof/>
        <w:color w:val="002D74"/>
        <w:lang w:val="en-US"/>
      </w:rPr>
      <mc:AlternateContent>
        <mc:Choice Requires="wpg">
          <w:drawing>
            <wp:anchor distT="0" distB="0" distL="114300" distR="114300" simplePos="0" relativeHeight="251662336" behindDoc="1" locked="0" layoutInCell="1" allowOverlap="1" wp14:anchorId="42FBE366" wp14:editId="544FA296">
              <wp:simplePos x="0" y="0"/>
              <wp:positionH relativeFrom="page">
                <wp:posOffset>1756410</wp:posOffset>
              </wp:positionH>
              <wp:positionV relativeFrom="page">
                <wp:posOffset>1428750</wp:posOffset>
              </wp:positionV>
              <wp:extent cx="4582160" cy="45720"/>
              <wp:effectExtent l="0" t="0" r="15240" b="0"/>
              <wp:wrapNone/>
              <wp:docPr id="74976848" name="Group 41"/>
              <wp:cNvGraphicFramePr/>
              <a:graphic xmlns:a="http://schemas.openxmlformats.org/drawingml/2006/main">
                <a:graphicData uri="http://schemas.microsoft.com/office/word/2010/wordprocessingGroup">
                  <wpg:wgp>
                    <wpg:cNvGrpSpPr/>
                    <wpg:grpSpPr>
                      <a:xfrm>
                        <a:off x="0" y="0"/>
                        <a:ext cx="4582160" cy="45720"/>
                        <a:chOff x="2794" y="2998"/>
                        <a:chExt cx="7218" cy="72"/>
                      </a:xfrm>
                    </wpg:grpSpPr>
                    <wps:wsp>
                      <wps:cNvPr id="857575574" name="Freeform 42"/>
                      <wps:cNvSpPr/>
                      <wps:spPr bwMode="auto">
                        <a:xfrm>
                          <a:off x="2794" y="2998"/>
                          <a:ext cx="7218" cy="7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1" style="width:360.8pt;height:3.6pt;margin-top:112.5pt;margin-left:138.3pt;mso-position-horizontal-relative:page;mso-position-vertical-relative:page;position:absolute;z-index:-251653120" coordorigin="2794,2998" coordsize="7218,72">
              <v:shape id="Freeform 42" o:spid="_x0000_s2052" style="width:7218;height:72;left:2794;mso-wrap-style:square;position:absolute;top:2998;visibility:visible;v-text-anchor:top" coordsize="6926,72" path="m,l6926,e" filled="f" strokecolor="#231f20" strokeweight="0.25pt">
                <v:path arrowok="t" o:connecttype="custom" o:connectlocs="0,0;7218,0" o:connectangles="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4466C"/>
    <w:multiLevelType w:val="multilevel"/>
    <w:tmpl w:val="739EFFE6"/>
    <w:lvl w:ilvl="0">
      <w:start w:val="1"/>
      <w:numFmt w:val="decimal"/>
      <w:pStyle w:val="1lmenis"/>
      <w:lvlText w:val="%1."/>
      <w:lvlJc w:val="left"/>
      <w:pPr>
        <w:ind w:left="360" w:hanging="360"/>
      </w:pPr>
    </w:lvl>
    <w:lvl w:ilvl="1">
      <w:start w:val="1"/>
      <w:numFmt w:val="decimal"/>
      <w:pStyle w:val="11lmenis"/>
      <w:lvlText w:val="%1.%2."/>
      <w:lvlJc w:val="left"/>
      <w:pPr>
        <w:ind w:left="792" w:hanging="432"/>
      </w:pPr>
    </w:lvl>
    <w:lvl w:ilvl="2">
      <w:start w:val="1"/>
      <w:numFmt w:val="decimal"/>
      <w:pStyle w:val="111lmeni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1447E0D"/>
    <w:multiLevelType w:val="multilevel"/>
    <w:tmpl w:val="5AF82DF6"/>
    <w:lvl w:ilvl="0">
      <w:start w:val="1"/>
      <w:numFmt w:val="decimal"/>
      <w:lvlText w:val="%1."/>
      <w:lvlJc w:val="left"/>
      <w:pPr>
        <w:ind w:left="502" w:hanging="360"/>
      </w:pPr>
      <w:rPr>
        <w:rFonts w:ascii="Times New Roman" w:hAnsi="Times New Roman" w:cs="Times New Roman"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63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03924991">
    <w:abstractNumId w:val="0"/>
  </w:num>
  <w:num w:numId="2" w16cid:durableId="122506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69F"/>
    <w:rsid w:val="00003306"/>
    <w:rsid w:val="00026745"/>
    <w:rsid w:val="000441AD"/>
    <w:rsid w:val="0006796C"/>
    <w:rsid w:val="000C2D3F"/>
    <w:rsid w:val="000D1637"/>
    <w:rsid w:val="000E3819"/>
    <w:rsid w:val="0013197D"/>
    <w:rsid w:val="0014213B"/>
    <w:rsid w:val="0016201C"/>
    <w:rsid w:val="00172A35"/>
    <w:rsid w:val="001D39BA"/>
    <w:rsid w:val="00231D6A"/>
    <w:rsid w:val="002B4A8B"/>
    <w:rsid w:val="002C388C"/>
    <w:rsid w:val="002D0293"/>
    <w:rsid w:val="0030092E"/>
    <w:rsid w:val="00323E33"/>
    <w:rsid w:val="003841EB"/>
    <w:rsid w:val="003B0A69"/>
    <w:rsid w:val="004026F7"/>
    <w:rsid w:val="00406F74"/>
    <w:rsid w:val="0041169F"/>
    <w:rsid w:val="0048532D"/>
    <w:rsid w:val="004A6446"/>
    <w:rsid w:val="004B440C"/>
    <w:rsid w:val="004D60B8"/>
    <w:rsid w:val="005070E9"/>
    <w:rsid w:val="00535186"/>
    <w:rsid w:val="005717C5"/>
    <w:rsid w:val="005F43D7"/>
    <w:rsid w:val="00636BBB"/>
    <w:rsid w:val="00654483"/>
    <w:rsid w:val="00667A7F"/>
    <w:rsid w:val="00700444"/>
    <w:rsid w:val="00720B44"/>
    <w:rsid w:val="00725822"/>
    <w:rsid w:val="00764CC4"/>
    <w:rsid w:val="007F3D92"/>
    <w:rsid w:val="00853AA7"/>
    <w:rsid w:val="008D4FC1"/>
    <w:rsid w:val="009136A3"/>
    <w:rsid w:val="009434BC"/>
    <w:rsid w:val="009A0969"/>
    <w:rsid w:val="009C2C8A"/>
    <w:rsid w:val="009D419A"/>
    <w:rsid w:val="009F1797"/>
    <w:rsid w:val="00A04734"/>
    <w:rsid w:val="00A26B32"/>
    <w:rsid w:val="00A663BE"/>
    <w:rsid w:val="00A86785"/>
    <w:rsid w:val="00AE50C0"/>
    <w:rsid w:val="00AE7B97"/>
    <w:rsid w:val="00B43CF4"/>
    <w:rsid w:val="00B70B4E"/>
    <w:rsid w:val="00B92FBF"/>
    <w:rsid w:val="00BE4FA5"/>
    <w:rsid w:val="00C12725"/>
    <w:rsid w:val="00C258BF"/>
    <w:rsid w:val="00C67340"/>
    <w:rsid w:val="00C90379"/>
    <w:rsid w:val="00C940B0"/>
    <w:rsid w:val="00CA2CB2"/>
    <w:rsid w:val="00CD3BC4"/>
    <w:rsid w:val="00CD7B0E"/>
    <w:rsid w:val="00CF5717"/>
    <w:rsid w:val="00CF647F"/>
    <w:rsid w:val="00D16785"/>
    <w:rsid w:val="00D26892"/>
    <w:rsid w:val="00D62B30"/>
    <w:rsid w:val="00D74015"/>
    <w:rsid w:val="00DA4D95"/>
    <w:rsid w:val="00DC3E74"/>
    <w:rsid w:val="00DC5FB4"/>
    <w:rsid w:val="00E51DA3"/>
    <w:rsid w:val="00E62E9E"/>
    <w:rsid w:val="00ED04DB"/>
    <w:rsid w:val="00F1366F"/>
    <w:rsid w:val="00FB11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28288"/>
  <w15:chartTrackingRefBased/>
  <w15:docId w15:val="{B3933DD6-029D-4959-B839-5304DC26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69F"/>
    <w:pPr>
      <w:spacing w:after="0" w:line="360"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unhideWhenUsed/>
    <w:rsid w:val="0041169F"/>
    <w:rPr>
      <w:vertAlign w:val="superscript"/>
    </w:rPr>
  </w:style>
  <w:style w:type="paragraph" w:styleId="Header">
    <w:name w:val="header"/>
    <w:basedOn w:val="Normal"/>
    <w:link w:val="HeaderChar"/>
    <w:uiPriority w:val="99"/>
    <w:unhideWhenUsed/>
    <w:rsid w:val="0041169F"/>
    <w:pPr>
      <w:tabs>
        <w:tab w:val="center" w:pos="4680"/>
        <w:tab w:val="right" w:pos="9360"/>
      </w:tabs>
      <w:spacing w:line="240" w:lineRule="auto"/>
    </w:pPr>
  </w:style>
  <w:style w:type="character" w:customStyle="1" w:styleId="HeaderChar">
    <w:name w:val="Header Char"/>
    <w:basedOn w:val="DefaultParagraphFont"/>
    <w:link w:val="Header"/>
    <w:uiPriority w:val="99"/>
    <w:rsid w:val="0041169F"/>
    <w:rPr>
      <w:rFonts w:asciiTheme="minorHAnsi" w:hAnsiTheme="minorHAnsi"/>
      <w:sz w:val="22"/>
    </w:rPr>
  </w:style>
  <w:style w:type="paragraph" w:styleId="Footer">
    <w:name w:val="footer"/>
    <w:basedOn w:val="Normal"/>
    <w:link w:val="FooterChar"/>
    <w:uiPriority w:val="99"/>
    <w:unhideWhenUsed/>
    <w:rsid w:val="0041169F"/>
    <w:pPr>
      <w:tabs>
        <w:tab w:val="center" w:pos="4680"/>
        <w:tab w:val="right" w:pos="9360"/>
      </w:tabs>
      <w:spacing w:line="240" w:lineRule="auto"/>
    </w:pPr>
  </w:style>
  <w:style w:type="character" w:customStyle="1" w:styleId="FooterChar">
    <w:name w:val="Footer Char"/>
    <w:basedOn w:val="DefaultParagraphFont"/>
    <w:link w:val="Footer"/>
    <w:uiPriority w:val="99"/>
    <w:rsid w:val="0041169F"/>
    <w:rPr>
      <w:rFonts w:asciiTheme="minorHAnsi" w:hAnsiTheme="minorHAnsi"/>
      <w:sz w:val="22"/>
    </w:rPr>
  </w:style>
  <w:style w:type="table" w:styleId="TableGrid">
    <w:name w:val="Table Grid"/>
    <w:basedOn w:val="TableNormal"/>
    <w:uiPriority w:val="39"/>
    <w:rsid w:val="0041169F"/>
    <w:pPr>
      <w:spacing w:after="0" w:line="240" w:lineRule="auto"/>
    </w:pPr>
    <w:rPr>
      <w:rFonts w:ascii="Minion Pro Subh" w:hAnsi="Minion Pro Sub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A6446"/>
  </w:style>
  <w:style w:type="paragraph" w:customStyle="1" w:styleId="11lmenis">
    <w:name w:val="1.1 līmenis"/>
    <w:basedOn w:val="Normal"/>
    <w:link w:val="11lmenisChar"/>
    <w:qFormat/>
    <w:rsid w:val="00CD3BC4"/>
    <w:pPr>
      <w:numPr>
        <w:ilvl w:val="1"/>
        <w:numId w:val="1"/>
      </w:numPr>
      <w:tabs>
        <w:tab w:val="left" w:pos="360"/>
        <w:tab w:val="left" w:pos="993"/>
      </w:tabs>
      <w:spacing w:before="120" w:after="120"/>
      <w:ind w:left="993" w:hanging="633"/>
      <w:jc w:val="both"/>
    </w:pPr>
    <w:rPr>
      <w:rFonts w:ascii="Times New Roman" w:eastAsia="Times New Roman" w:hAnsi="Times New Roman" w:cs="Times New Roman"/>
      <w:sz w:val="24"/>
      <w:szCs w:val="24"/>
      <w:lang w:val="en-US" w:eastAsia="lv-LV"/>
    </w:rPr>
  </w:style>
  <w:style w:type="paragraph" w:customStyle="1" w:styleId="111lmenis">
    <w:name w:val="1.1.1. līmenis"/>
    <w:basedOn w:val="11lmenis"/>
    <w:link w:val="111lmenisChar"/>
    <w:qFormat/>
    <w:rsid w:val="00CD3BC4"/>
    <w:pPr>
      <w:numPr>
        <w:ilvl w:val="2"/>
      </w:numPr>
      <w:ind w:left="1418" w:hanging="698"/>
    </w:pPr>
  </w:style>
  <w:style w:type="character" w:customStyle="1" w:styleId="11lmenisChar">
    <w:name w:val="1.1 līmenis Char"/>
    <w:link w:val="11lmenis"/>
    <w:rsid w:val="00CD3BC4"/>
    <w:rPr>
      <w:rFonts w:eastAsia="Times New Roman" w:cs="Times New Roman"/>
      <w:szCs w:val="24"/>
      <w:lang w:val="en-US" w:eastAsia="lv-LV"/>
    </w:rPr>
  </w:style>
  <w:style w:type="character" w:customStyle="1" w:styleId="111lmenisChar">
    <w:name w:val="1.1.1. līmenis Char"/>
    <w:link w:val="111lmenis"/>
    <w:rsid w:val="00CD3BC4"/>
    <w:rPr>
      <w:rFonts w:eastAsia="Times New Roman" w:cs="Times New Roman"/>
      <w:szCs w:val="24"/>
      <w:lang w:val="en-US" w:eastAsia="lv-LV"/>
    </w:rPr>
  </w:style>
  <w:style w:type="paragraph" w:customStyle="1" w:styleId="1lmenis">
    <w:name w:val="1. līmenis"/>
    <w:basedOn w:val="11lmenis"/>
    <w:link w:val="1lmenisChar"/>
    <w:qFormat/>
    <w:rsid w:val="00CD3BC4"/>
    <w:pPr>
      <w:numPr>
        <w:ilvl w:val="0"/>
      </w:numPr>
    </w:pPr>
  </w:style>
  <w:style w:type="character" w:customStyle="1" w:styleId="1lmenisChar">
    <w:name w:val="1. līmenis Char"/>
    <w:link w:val="1lmenis"/>
    <w:rsid w:val="00CD3BC4"/>
    <w:rPr>
      <w:rFonts w:eastAsia="Times New Roman" w:cs="Times New Roman"/>
      <w:szCs w:val="24"/>
      <w:lang w:val="en-US"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4C110-B8DF-0F46-BB18-81537B999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2613</Characters>
  <Application>Microsoft Office Word</Application>
  <DocSecurity>0</DocSecurity>
  <Lines>21</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Aivars Švāns</dc:creator>
  <cp:lastModifiedBy>Ināra Freimane</cp:lastModifiedBy>
  <cp:revision>2</cp:revision>
  <cp:lastPrinted>2025-02-25T09:54:00Z</cp:lastPrinted>
  <dcterms:created xsi:type="dcterms:W3CDTF">2025-02-25T09:55:00Z</dcterms:created>
  <dcterms:modified xsi:type="dcterms:W3CDTF">2025-02-25T09:55:00Z</dcterms:modified>
</cp:coreProperties>
</file>