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F86" w:rsidRPr="005A3C39" w:rsidRDefault="00EF16F1" w:rsidP="006B1F8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5</w:t>
      </w:r>
      <w:r w:rsidR="006B1F86" w:rsidRPr="005A3C3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pielikums</w:t>
      </w:r>
    </w:p>
    <w:p w:rsidR="006B1F86" w:rsidRPr="005A3C39" w:rsidRDefault="006B1F86" w:rsidP="006B1F86">
      <w:pP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iepirkuma</w:t>
      </w:r>
    </w:p>
    <w:p w:rsidR="006B1F86" w:rsidRPr="005A3C39" w:rsidRDefault="006B1F86" w:rsidP="006B1F86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“</w:t>
      </w:r>
      <w:r w:rsidRPr="00A807B0">
        <w:rPr>
          <w:rFonts w:ascii="Times New Roman" w:eastAsia="Times New Roman" w:hAnsi="Times New Roman" w:cs="Times New Roman"/>
          <w:sz w:val="20"/>
          <w:szCs w:val="20"/>
        </w:rPr>
        <w:t>Latvijas Universitātes Bibliotēkas krājuma pārvietošanas un dezinfekcijas pakalpojumi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”</w:t>
      </w:r>
    </w:p>
    <w:p w:rsidR="006B1F86" w:rsidRDefault="006B1F86" w:rsidP="006B1F86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(ID Nr.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LU 2018/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64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_ERAF) nolikumam</w:t>
      </w:r>
    </w:p>
    <w:p w:rsidR="00B92EA4" w:rsidRDefault="00B92EA4" w:rsidP="00B92EA4">
      <w:pPr>
        <w:pStyle w:val="Heading1"/>
        <w:keepNext w:val="0"/>
        <w:spacing w:before="240" w:after="240" w:line="240" w:lineRule="auto"/>
        <w:ind w:left="340" w:hanging="3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Tehniskā piedāvājuma forma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4990"/>
        <w:gridCol w:w="3402"/>
      </w:tblGrid>
      <w:tr w:rsidR="006B1F86" w:rsidRPr="006B1F86" w:rsidTr="00885697">
        <w:trPr>
          <w:trHeight w:val="396"/>
        </w:trPr>
        <w:tc>
          <w:tcPr>
            <w:tcW w:w="959" w:type="dxa"/>
            <w:vAlign w:val="center"/>
          </w:tcPr>
          <w:p w:rsidR="006B1F86" w:rsidRPr="006B1F86" w:rsidRDefault="006B1F86" w:rsidP="006B1F86">
            <w:pPr>
              <w:pStyle w:val="NormalWeb2"/>
              <w:spacing w:after="0"/>
              <w:jc w:val="center"/>
              <w:rPr>
                <w:b/>
                <w:sz w:val="20"/>
                <w:szCs w:val="20"/>
              </w:rPr>
            </w:pPr>
            <w:r w:rsidRPr="006B1F86">
              <w:rPr>
                <w:b/>
                <w:sz w:val="20"/>
                <w:szCs w:val="20"/>
              </w:rPr>
              <w:t>N. p.k.</w:t>
            </w:r>
          </w:p>
        </w:tc>
        <w:tc>
          <w:tcPr>
            <w:tcW w:w="4990" w:type="dxa"/>
            <w:vAlign w:val="center"/>
          </w:tcPr>
          <w:p w:rsidR="006B1F86" w:rsidRPr="006B1F86" w:rsidRDefault="006B1F86" w:rsidP="00D31F1C">
            <w:pPr>
              <w:pStyle w:val="NormalWeb2"/>
              <w:spacing w:after="0"/>
              <w:jc w:val="center"/>
              <w:rPr>
                <w:b/>
                <w:sz w:val="20"/>
                <w:szCs w:val="20"/>
              </w:rPr>
            </w:pPr>
            <w:r w:rsidRPr="006B1F86">
              <w:rPr>
                <w:b/>
                <w:sz w:val="20"/>
                <w:szCs w:val="20"/>
              </w:rPr>
              <w:t>Nosaukums un prasības</w:t>
            </w:r>
          </w:p>
        </w:tc>
        <w:tc>
          <w:tcPr>
            <w:tcW w:w="3402" w:type="dxa"/>
            <w:vAlign w:val="center"/>
          </w:tcPr>
          <w:p w:rsidR="006B1F86" w:rsidRPr="006B1F86" w:rsidRDefault="006B1F86" w:rsidP="006B1F86">
            <w:pPr>
              <w:pStyle w:val="NormalWeb2"/>
              <w:spacing w:after="0"/>
              <w:jc w:val="center"/>
              <w:rPr>
                <w:b/>
                <w:sz w:val="20"/>
                <w:szCs w:val="20"/>
              </w:rPr>
            </w:pPr>
            <w:r w:rsidRPr="006B1F86">
              <w:rPr>
                <w:b/>
                <w:sz w:val="20"/>
                <w:szCs w:val="20"/>
              </w:rPr>
              <w:t>Pretendenta piedāvājums</w:t>
            </w:r>
          </w:p>
        </w:tc>
      </w:tr>
      <w:tr w:rsidR="006B1F86" w:rsidRPr="00A612EE" w:rsidTr="00885697">
        <w:trPr>
          <w:trHeight w:val="857"/>
        </w:trPr>
        <w:tc>
          <w:tcPr>
            <w:tcW w:w="959" w:type="dxa"/>
          </w:tcPr>
          <w:p w:rsidR="006B1F86" w:rsidRPr="00A612EE" w:rsidRDefault="006B1F86" w:rsidP="006B1F86">
            <w:pPr>
              <w:pStyle w:val="NormalWeb2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4990" w:type="dxa"/>
          </w:tcPr>
          <w:p w:rsidR="006B1F86" w:rsidRPr="00A612EE" w:rsidRDefault="006B1F86" w:rsidP="00D31F1C">
            <w:pPr>
              <w:pStyle w:val="NormalWeb2"/>
              <w:spacing w:after="0"/>
              <w:jc w:val="both"/>
            </w:pPr>
            <w:r w:rsidRPr="00A612EE">
              <w:t>Dezinfekcijas metode: dezinfekcija augstspiediena kamerā ar etilēna oksīdu tīrā veidā vai maisījumā ar ogļskābās</w:t>
            </w:r>
            <w:r>
              <w:t xml:space="preserve"> gāzes piemaisījumu līdz 10%</w:t>
            </w:r>
            <w:r w:rsidR="00D31F1C">
              <w:t>.</w:t>
            </w:r>
          </w:p>
        </w:tc>
        <w:tc>
          <w:tcPr>
            <w:tcW w:w="3402" w:type="dxa"/>
          </w:tcPr>
          <w:p w:rsidR="006B1F86" w:rsidRPr="006B1F86" w:rsidRDefault="006B1F86" w:rsidP="006B1F86">
            <w:pPr>
              <w:pStyle w:val="NormalWeb2"/>
              <w:spacing w:after="0"/>
            </w:pPr>
          </w:p>
        </w:tc>
      </w:tr>
      <w:tr w:rsidR="006B1F86" w:rsidRPr="00A612EE" w:rsidTr="00885697">
        <w:tc>
          <w:tcPr>
            <w:tcW w:w="959" w:type="dxa"/>
          </w:tcPr>
          <w:p w:rsidR="006B1F86" w:rsidRPr="00A612EE" w:rsidRDefault="006B1F86" w:rsidP="006B1F86">
            <w:pPr>
              <w:pStyle w:val="NormalWeb2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4990" w:type="dxa"/>
          </w:tcPr>
          <w:p w:rsidR="006B1F86" w:rsidRPr="00A612EE" w:rsidRDefault="006B1F86" w:rsidP="00D31F1C">
            <w:pPr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Zemas temperatūras gāzes dezinfekcija. Temperatūras režīms 40-55°C</w:t>
            </w:r>
            <w:r w:rsidR="00D31F1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B1F86" w:rsidRPr="006B1F86" w:rsidRDefault="006B1F86" w:rsidP="006B1F86">
            <w:pPr>
              <w:pStyle w:val="NormalWeb2"/>
              <w:spacing w:after="0"/>
            </w:pPr>
          </w:p>
        </w:tc>
      </w:tr>
      <w:tr w:rsidR="006B1F86" w:rsidRPr="00A612EE" w:rsidTr="00885697">
        <w:tc>
          <w:tcPr>
            <w:tcW w:w="959" w:type="dxa"/>
          </w:tcPr>
          <w:p w:rsidR="006B1F86" w:rsidRPr="00A612EE" w:rsidRDefault="006B1F86" w:rsidP="006B1F86">
            <w:pPr>
              <w:pStyle w:val="NormalWeb2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4990" w:type="dxa"/>
          </w:tcPr>
          <w:p w:rsidR="006B1F86" w:rsidRPr="00A612EE" w:rsidRDefault="006B1F86" w:rsidP="00D31F1C">
            <w:pPr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Relatīvais mitrums dezinfekcijas cikla laikā 45-60 Rh</w:t>
            </w:r>
            <w:r w:rsidR="00D31F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B1F86" w:rsidRPr="006B1F86" w:rsidRDefault="006B1F86" w:rsidP="006B1F86">
            <w:pPr>
              <w:pStyle w:val="NormalWeb2"/>
              <w:spacing w:after="0"/>
            </w:pPr>
          </w:p>
        </w:tc>
      </w:tr>
      <w:tr w:rsidR="006B1F86" w:rsidRPr="00A612EE" w:rsidTr="00885697">
        <w:tc>
          <w:tcPr>
            <w:tcW w:w="959" w:type="dxa"/>
          </w:tcPr>
          <w:p w:rsidR="006B1F86" w:rsidRPr="00A612EE" w:rsidRDefault="006B1F86" w:rsidP="006B1F86">
            <w:pPr>
              <w:pStyle w:val="NormalWeb2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4990" w:type="dxa"/>
          </w:tcPr>
          <w:p w:rsidR="006B1F86" w:rsidRPr="00A612EE" w:rsidRDefault="006B1F86" w:rsidP="00D31F1C">
            <w:pPr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Darba spiediens dezinfekcijas kamerā: 50-900 mBar</w:t>
            </w:r>
            <w:r w:rsidR="00D31F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6B1F86" w:rsidRPr="006B1F86" w:rsidRDefault="006B1F86" w:rsidP="006B1F86">
            <w:pPr>
              <w:pStyle w:val="NormalWeb2"/>
              <w:spacing w:after="0"/>
            </w:pPr>
          </w:p>
        </w:tc>
      </w:tr>
      <w:tr w:rsidR="006B1F86" w:rsidRPr="00A612EE" w:rsidTr="00885697">
        <w:tc>
          <w:tcPr>
            <w:tcW w:w="959" w:type="dxa"/>
          </w:tcPr>
          <w:p w:rsidR="006B1F86" w:rsidRPr="00A612EE" w:rsidRDefault="006B1F86" w:rsidP="006B1F86">
            <w:pPr>
              <w:pStyle w:val="NormalWeb2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4990" w:type="dxa"/>
          </w:tcPr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Dezinfekcijas iekārtas parametriem jāatbilst Eiropas un starptautisko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612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normu prasību standartiem un pielietojamai metodei jānodrošina krājuma ilgtermiņa saglabāšanu.</w:t>
            </w:r>
          </w:p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EN 1422  Medi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cīnai paredzēti sterilizatori – </w:t>
            </w: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EtO sterilizatori, prasības un testa metodes</w:t>
            </w:r>
          </w:p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ISO 11135  Medicīnas ierīču sterilizācija ar EtO</w:t>
            </w:r>
          </w:p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EN 60204-1  Iekārtu drošības prasības. Elektroiekārtas. Vispārējas prasības</w:t>
            </w:r>
          </w:p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EN 61010-1  Elektroiekārtas kontroles un mērierīcēm laboratorijā</w:t>
            </w:r>
          </w:p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EN 61310-1 Iekārtu drošība. Mērījumi, marķēšana un nolasīšana un taustāmi signāli(skārienjūtīgi)</w:t>
            </w:r>
          </w:p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ISO 12100-1  Iekārtu drošība.</w:t>
            </w:r>
            <w:r w:rsidR="00EF1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Pamata koncepcija. Vispārīgie projektēšanas principi. Pamatjēdzieni un metodoloģija</w:t>
            </w:r>
          </w:p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ISO 12100-2  Iekārtu drošība Pamatprasības.  Tehniskie principi.</w:t>
            </w:r>
          </w:p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ISO 14121-1  Iekārtu drošība. Risku novērtējums</w:t>
            </w:r>
          </w:p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97/23/EC  Spiediena iekārtu direktīva</w:t>
            </w:r>
          </w:p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94/23/EC  Mehāniskā inženierija</w:t>
            </w:r>
          </w:p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1999/92/EG  Darba drošība sprādzienbīstamā atmosfērā</w:t>
            </w:r>
          </w:p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2006/42/EG  Mehāniskā inženierija</w:t>
            </w:r>
          </w:p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TRGS 513  Tehniskie noteikumi bīstamām vielām EtO un formaldehīda iekārtām</w:t>
            </w:r>
          </w:p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TRGS 900  Tehniskie noteikumi bīstamām vielām. Arodekspozīciju robežvērtības</w:t>
            </w:r>
          </w:p>
        </w:tc>
        <w:tc>
          <w:tcPr>
            <w:tcW w:w="3402" w:type="dxa"/>
          </w:tcPr>
          <w:p w:rsidR="006B1F86" w:rsidRPr="006B1F86" w:rsidRDefault="006B1F86" w:rsidP="006B1F86">
            <w:pPr>
              <w:pStyle w:val="NormalWeb2"/>
              <w:spacing w:after="0"/>
            </w:pPr>
          </w:p>
        </w:tc>
      </w:tr>
      <w:tr w:rsidR="006B1F86" w:rsidRPr="00A612EE" w:rsidTr="00885697">
        <w:tc>
          <w:tcPr>
            <w:tcW w:w="959" w:type="dxa"/>
          </w:tcPr>
          <w:p w:rsidR="006B1F86" w:rsidRPr="00A612EE" w:rsidRDefault="006B1F86" w:rsidP="006B1F86">
            <w:pPr>
              <w:pStyle w:val="NormalWeb2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4990" w:type="dxa"/>
          </w:tcPr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Dezinficējamā krājuma nodošanas – s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aņemšanas procesa nodrošināšana</w:t>
            </w:r>
          </w:p>
          <w:p w:rsidR="006B1F86" w:rsidRPr="00A612EE" w:rsidRDefault="006B1F86" w:rsidP="00D31F1C">
            <w:pPr>
              <w:pStyle w:val="HTMLPreformatted"/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 xml:space="preserve">Pretendentam jānodrošina droša materiālo vērtību pārvietošana, nenodarot bojājumus </w:t>
            </w:r>
            <w:r w:rsidRPr="00A61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pārvietojamajam krājumam, priekšmetiem un telpām, no kurām un uz kurām tie tiek pārvietoti.</w:t>
            </w:r>
          </w:p>
          <w:p w:rsidR="006B1F86" w:rsidRPr="00A612EE" w:rsidRDefault="006B1F86" w:rsidP="00D31F1C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 xml:space="preserve">Pretendents sakārto  dezinficējamo krājumu  kastēs, vai citos iepakojumos, nostiprina uz paletēm.  </w:t>
            </w:r>
          </w:p>
          <w:p w:rsidR="006B1F86" w:rsidRPr="00A612EE" w:rsidRDefault="006B1F86" w:rsidP="00D31F1C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Eiropaletes izmēri 1200x800</w:t>
            </w:r>
            <w:r w:rsidR="00D31F1C">
              <w:rPr>
                <w:rFonts w:ascii="Times New Roman" w:hAnsi="Times New Roman" w:cs="Times New Roman"/>
                <w:sz w:val="24"/>
                <w:szCs w:val="24"/>
              </w:rPr>
              <w:t>x1750cm</w:t>
            </w:r>
          </w:p>
          <w:p w:rsidR="006B1F86" w:rsidRPr="00A612EE" w:rsidRDefault="006B1F86" w:rsidP="00D31F1C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Dezinficējamo krājumu pārvelk ar plēvi un nogādā dezinfekcijai.</w:t>
            </w:r>
          </w:p>
          <w:p w:rsidR="006B1F86" w:rsidRPr="00A612EE" w:rsidRDefault="006B1F86" w:rsidP="00D31F1C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Pretendents  izkrauj dezinficējamo krājumu un novieto atbilstošā telpā pirms un pēc dezinfekcijas.</w:t>
            </w:r>
          </w:p>
          <w:p w:rsidR="006B1F86" w:rsidRPr="00A612EE" w:rsidRDefault="006B1F86" w:rsidP="00D31F1C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Pretendents nodrošina temperatūras  un mitruma režīmu telpās  pirms un  pēc dezinfekcijas atbilstoši krājuma glabāšanas</w:t>
            </w:r>
            <w:r w:rsidR="00D31F1C">
              <w:rPr>
                <w:rFonts w:ascii="Times New Roman" w:hAnsi="Times New Roman" w:cs="Times New Roman"/>
                <w:sz w:val="24"/>
                <w:szCs w:val="24"/>
              </w:rPr>
              <w:t xml:space="preserve"> noteikumiem (T</w:t>
            </w:r>
            <w:r w:rsidR="007B1350">
              <w:rPr>
                <w:rFonts w:ascii="Sylfaen" w:hAnsi="Sylfaen" w:cs="Times New Roman"/>
                <w:sz w:val="24"/>
                <w:szCs w:val="24"/>
              </w:rPr>
              <w:t>°</w:t>
            </w:r>
            <w:r w:rsidR="00D31F1C">
              <w:rPr>
                <w:rFonts w:ascii="Times New Roman" w:hAnsi="Times New Roman" w:cs="Times New Roman"/>
                <w:sz w:val="24"/>
                <w:szCs w:val="24"/>
              </w:rPr>
              <w:t xml:space="preserve"> = 15</w:t>
            </w:r>
            <w:r w:rsidR="007B13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D31F1C" w:rsidRPr="00A612E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°</w:t>
            </w: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 xml:space="preserve">C </w:t>
            </w:r>
            <w:r w:rsidR="00D31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relatīvais mitrums = 40</w:t>
            </w:r>
            <w:r w:rsidR="007B13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A61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RH).</w:t>
            </w:r>
          </w:p>
          <w:p w:rsidR="006B1F86" w:rsidRPr="00A612EE" w:rsidRDefault="006B1F86" w:rsidP="00D31F1C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Pretendents nodrošina dezinficētās krājuma daļas vēdināšanu un uzglabāšanu  pēcapstrādes periodā.</w:t>
            </w:r>
          </w:p>
          <w:p w:rsidR="006B1F86" w:rsidRPr="006B1F86" w:rsidRDefault="006B1F86" w:rsidP="00D31F1C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Pretendents dezinficēto krājumu ievieto transportā un nogādā Pasūtītājam.</w:t>
            </w:r>
          </w:p>
        </w:tc>
        <w:tc>
          <w:tcPr>
            <w:tcW w:w="3402" w:type="dxa"/>
          </w:tcPr>
          <w:p w:rsidR="006B1F86" w:rsidRPr="006B1F86" w:rsidRDefault="006B1F86" w:rsidP="006B1F86">
            <w:pPr>
              <w:pStyle w:val="NormalWeb2"/>
              <w:spacing w:after="0"/>
            </w:pPr>
          </w:p>
        </w:tc>
      </w:tr>
      <w:tr w:rsidR="006B1F86" w:rsidRPr="00A612EE" w:rsidTr="00885697">
        <w:tc>
          <w:tcPr>
            <w:tcW w:w="959" w:type="dxa"/>
          </w:tcPr>
          <w:p w:rsidR="006B1F86" w:rsidRPr="00A612EE" w:rsidRDefault="006B1F86" w:rsidP="006B1F86">
            <w:pPr>
              <w:pStyle w:val="NormalWeb2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4990" w:type="dxa"/>
          </w:tcPr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 xml:space="preserve">Dezinfekcijas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krājuma kvalitātes kontrole</w:t>
            </w:r>
          </w:p>
          <w:p w:rsidR="006B1F86" w:rsidRPr="00A612EE" w:rsidRDefault="006B1F86" w:rsidP="00D31F1C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 xml:space="preserve">Pēc krājuma dezinfekcijas </w:t>
            </w:r>
            <w:r w:rsidRPr="00A61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pretendents nodrošina mikrobioloģiskās virsmas analīzes, testējot dezinficējamo krājumu izlases veidā uz </w:t>
            </w:r>
            <w:r w:rsidR="00D31F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A61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enicilīna sēnēm, kā arī  </w:t>
            </w: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 xml:space="preserve">nosakot EtO pārpalikumu pēc krājuma vēdināšanas  </w:t>
            </w:r>
            <w:r w:rsidRPr="00A612E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neatkarīgā laboratorijā. </w:t>
            </w:r>
          </w:p>
          <w:p w:rsidR="006B1F86" w:rsidRPr="00A612EE" w:rsidRDefault="006B1F86" w:rsidP="00D31F1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</w:p>
        </w:tc>
        <w:tc>
          <w:tcPr>
            <w:tcW w:w="3402" w:type="dxa"/>
          </w:tcPr>
          <w:p w:rsidR="006B1F86" w:rsidRPr="006B1F86" w:rsidRDefault="006B1F86" w:rsidP="006B1F86">
            <w:pPr>
              <w:pStyle w:val="NormalWeb2"/>
              <w:spacing w:after="0"/>
            </w:pPr>
          </w:p>
        </w:tc>
      </w:tr>
      <w:tr w:rsidR="006B1F86" w:rsidRPr="00A612EE" w:rsidTr="00885697">
        <w:tc>
          <w:tcPr>
            <w:tcW w:w="959" w:type="dxa"/>
          </w:tcPr>
          <w:p w:rsidR="006B1F86" w:rsidRPr="00A612EE" w:rsidRDefault="006B1F86" w:rsidP="006B1F86">
            <w:pPr>
              <w:pStyle w:val="NormalWeb2"/>
              <w:numPr>
                <w:ilvl w:val="0"/>
                <w:numId w:val="1"/>
              </w:numPr>
              <w:spacing w:after="0"/>
              <w:jc w:val="center"/>
            </w:pPr>
          </w:p>
        </w:tc>
        <w:tc>
          <w:tcPr>
            <w:tcW w:w="4990" w:type="dxa"/>
          </w:tcPr>
          <w:p w:rsidR="006B1F86" w:rsidRPr="00A612EE" w:rsidRDefault="006B1F86" w:rsidP="00D31F1C">
            <w:pPr>
              <w:spacing w:after="0" w:line="240" w:lineRule="auto"/>
              <w:ind w:right="-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Citas prasības</w:t>
            </w:r>
          </w:p>
          <w:p w:rsidR="006B1F86" w:rsidRPr="00A612EE" w:rsidRDefault="006B1F86" w:rsidP="00D31F1C">
            <w:pPr>
              <w:spacing w:before="120" w:after="0" w:line="240" w:lineRule="auto"/>
              <w:ind w:righ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Pretendents nodrošina krājuma saglabāšanu, apsardzi un ugunsdrošības noteikumu ievērošanu.</w:t>
            </w:r>
          </w:p>
        </w:tc>
        <w:tc>
          <w:tcPr>
            <w:tcW w:w="3402" w:type="dxa"/>
          </w:tcPr>
          <w:p w:rsidR="006B1F86" w:rsidRPr="006B1F86" w:rsidRDefault="006B1F86" w:rsidP="006B1F86">
            <w:pPr>
              <w:pStyle w:val="NormalWeb2"/>
              <w:spacing w:after="0"/>
            </w:pPr>
          </w:p>
        </w:tc>
      </w:tr>
    </w:tbl>
    <w:p w:rsidR="006B1F86" w:rsidRPr="006B1F86" w:rsidRDefault="006B1F86" w:rsidP="006B1F86">
      <w:pPr>
        <w:rPr>
          <w:lang w:eastAsia="lv-LV"/>
        </w:rPr>
      </w:pPr>
    </w:p>
    <w:p w:rsidR="00352A84" w:rsidRDefault="00352A84" w:rsidP="009779C8">
      <w:pPr>
        <w:spacing w:after="0" w:line="240" w:lineRule="auto"/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440"/>
        <w:gridCol w:w="1020"/>
        <w:gridCol w:w="667"/>
        <w:gridCol w:w="4110"/>
        <w:gridCol w:w="3544"/>
      </w:tblGrid>
      <w:tr w:rsidR="00B92EA4" w:rsidRPr="00B92EA4" w:rsidTr="006B1F86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B92EA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Pretendenta pārstāvja vārds un uzvārds: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B92EA4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B92EA4" w:rsidRPr="00B92EA4" w:rsidTr="006B1F86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B92EA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Amats: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B92EA4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B92EA4" w:rsidRPr="00B92EA4" w:rsidTr="006B1F86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B92EA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Datums: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B92EA4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  <w:tr w:rsidR="00B92EA4" w:rsidRPr="00B92EA4" w:rsidTr="006B1F86">
        <w:trPr>
          <w:trHeight w:val="402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v-LV"/>
              </w:rPr>
            </w:pPr>
          </w:p>
        </w:tc>
        <w:tc>
          <w:tcPr>
            <w:tcW w:w="4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977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B92EA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Paraksts</w:t>
            </w:r>
            <w:r w:rsidR="009779C8">
              <w:rPr>
                <w:rStyle w:val="FootnoteReference"/>
                <w:rFonts w:ascii="Times New Roman" w:eastAsia="Times New Roman" w:hAnsi="Times New Roman" w:cs="Times New Roman"/>
                <w:color w:val="000000"/>
                <w:lang w:eastAsia="lv-LV"/>
              </w:rPr>
              <w:footnoteReference w:id="1"/>
            </w:r>
            <w:r w:rsidRPr="00B92EA4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: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2EA4" w:rsidRPr="00B92EA4" w:rsidRDefault="00B92EA4" w:rsidP="00B92EA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lv-LV"/>
              </w:rPr>
            </w:pPr>
            <w:r w:rsidRPr="00B92EA4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> </w:t>
            </w:r>
          </w:p>
        </w:tc>
      </w:tr>
    </w:tbl>
    <w:p w:rsidR="00117CB1" w:rsidRDefault="00117CB1"/>
    <w:sectPr w:rsidR="00117CB1" w:rsidSect="00885697">
      <w:pgSz w:w="11906" w:h="16838"/>
      <w:pgMar w:top="1418" w:right="1134" w:bottom="1134" w:left="1418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066" w:rsidRDefault="00CF4066" w:rsidP="009779C8">
      <w:pPr>
        <w:spacing w:after="0" w:line="240" w:lineRule="auto"/>
      </w:pPr>
      <w:r>
        <w:separator/>
      </w:r>
    </w:p>
  </w:endnote>
  <w:endnote w:type="continuationSeparator" w:id="0">
    <w:p w:rsidR="00CF4066" w:rsidRDefault="00CF4066" w:rsidP="00977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066" w:rsidRDefault="00CF4066" w:rsidP="009779C8">
      <w:pPr>
        <w:spacing w:after="0" w:line="240" w:lineRule="auto"/>
      </w:pPr>
      <w:r>
        <w:separator/>
      </w:r>
    </w:p>
  </w:footnote>
  <w:footnote w:type="continuationSeparator" w:id="0">
    <w:p w:rsidR="00CF4066" w:rsidRDefault="00CF4066" w:rsidP="009779C8">
      <w:pPr>
        <w:spacing w:after="0" w:line="240" w:lineRule="auto"/>
      </w:pPr>
      <w:r>
        <w:continuationSeparator/>
      </w:r>
    </w:p>
  </w:footnote>
  <w:footnote w:id="1">
    <w:p w:rsidR="009779C8" w:rsidRDefault="009779C8">
      <w:pPr>
        <w:pStyle w:val="FootnoteText"/>
      </w:pPr>
      <w:r w:rsidRPr="00B92EA4">
        <w:rPr>
          <w:rFonts w:ascii="Times New Roman" w:eastAsia="Times New Roman" w:hAnsi="Times New Roman" w:cs="Times New Roman"/>
          <w:color w:val="000000"/>
          <w:vertAlign w:val="superscript"/>
          <w:lang w:eastAsia="lv-LV"/>
        </w:rPr>
        <w:t>1</w:t>
      </w:r>
      <w:r w:rsidRPr="00B92EA4">
        <w:rPr>
          <w:rFonts w:ascii="Times New Roman" w:eastAsia="Times New Roman" w:hAnsi="Times New Roman" w:cs="Times New Roman"/>
          <w:color w:val="000000"/>
          <w:lang w:eastAsia="lv-LV"/>
        </w:rPr>
        <w:t xml:space="preserve"> Neaizpilda, ja dokuments tiek parakstīts ar drošu elektronisko vai EIS elektronisko parakstu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A8587F"/>
    <w:multiLevelType w:val="hybridMultilevel"/>
    <w:tmpl w:val="76C25A4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7D0"/>
    <w:rsid w:val="00117CB1"/>
    <w:rsid w:val="002803DA"/>
    <w:rsid w:val="002E1B1A"/>
    <w:rsid w:val="00352A84"/>
    <w:rsid w:val="006B1F86"/>
    <w:rsid w:val="00777D93"/>
    <w:rsid w:val="007B1350"/>
    <w:rsid w:val="00885697"/>
    <w:rsid w:val="00965F29"/>
    <w:rsid w:val="009779C8"/>
    <w:rsid w:val="00A207D0"/>
    <w:rsid w:val="00A36176"/>
    <w:rsid w:val="00B92EA4"/>
    <w:rsid w:val="00CB26BF"/>
    <w:rsid w:val="00CF4066"/>
    <w:rsid w:val="00D31F1C"/>
    <w:rsid w:val="00EF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C83098B-D235-4E64-869E-9DD11048F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B92EA4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rFonts w:ascii="Calibri" w:eastAsia="Calibri" w:hAnsi="Calibri" w:cs="Calibri"/>
      <w:b/>
      <w:color w:val="000000"/>
      <w:sz w:val="48"/>
      <w:szCs w:val="48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92EA4"/>
    <w:rPr>
      <w:rFonts w:ascii="Calibri" w:eastAsia="Calibri" w:hAnsi="Calibri" w:cs="Calibri"/>
      <w:b/>
      <w:color w:val="000000"/>
      <w:sz w:val="48"/>
      <w:szCs w:val="48"/>
      <w:lang w:eastAsia="lv-LV"/>
    </w:rPr>
  </w:style>
  <w:style w:type="paragraph" w:styleId="Header">
    <w:name w:val="header"/>
    <w:basedOn w:val="Normal"/>
    <w:link w:val="HeaderChar"/>
    <w:uiPriority w:val="99"/>
    <w:unhideWhenUsed/>
    <w:rsid w:val="009779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79C8"/>
  </w:style>
  <w:style w:type="paragraph" w:styleId="Footer">
    <w:name w:val="footer"/>
    <w:basedOn w:val="Normal"/>
    <w:link w:val="FooterChar"/>
    <w:uiPriority w:val="99"/>
    <w:unhideWhenUsed/>
    <w:rsid w:val="009779C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79C8"/>
  </w:style>
  <w:style w:type="paragraph" w:styleId="FootnoteText">
    <w:name w:val="footnote text"/>
    <w:basedOn w:val="Normal"/>
    <w:link w:val="FootnoteTextChar"/>
    <w:uiPriority w:val="99"/>
    <w:semiHidden/>
    <w:unhideWhenUsed/>
    <w:rsid w:val="009779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79C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79C8"/>
    <w:rPr>
      <w:vertAlign w:val="superscript"/>
    </w:rPr>
  </w:style>
  <w:style w:type="paragraph" w:customStyle="1" w:styleId="NormalWeb2">
    <w:name w:val="Normal (Web)2"/>
    <w:basedOn w:val="Normal"/>
    <w:rsid w:val="006B1F86"/>
    <w:pPr>
      <w:spacing w:after="28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B1F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B1F86"/>
    <w:rPr>
      <w:rFonts w:ascii="Courier New" w:eastAsia="Times New Roman" w:hAnsi="Courier New" w:cs="Courier New"/>
      <w:sz w:val="20"/>
      <w:szCs w:val="20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36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4841F-A697-40BA-BB3B-60FC3021E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1917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Izgl'itibas un zinatnes ministrija</Company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Eduards Duhanovskis</dc:creator>
  <cp:keywords/>
  <dc:description/>
  <cp:lastModifiedBy>Eduards Duhanovskis</cp:lastModifiedBy>
  <cp:revision>11</cp:revision>
  <dcterms:created xsi:type="dcterms:W3CDTF">2018-10-30T11:36:00Z</dcterms:created>
  <dcterms:modified xsi:type="dcterms:W3CDTF">2018-11-23T07:06:00Z</dcterms:modified>
</cp:coreProperties>
</file>